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54" w:rsidRPr="00085A4E" w:rsidRDefault="007B7954" w:rsidP="007B7954">
      <w:pPr>
        <w:ind w:firstLine="567"/>
        <w:jc w:val="center"/>
        <w:rPr>
          <w:b/>
          <w:lang w:val="uk-UA"/>
        </w:rPr>
      </w:pPr>
      <w:r w:rsidRPr="00085A4E">
        <w:rPr>
          <w:b/>
          <w:lang w:val="uk-UA"/>
        </w:rPr>
        <w:t xml:space="preserve">Звіт про базове відстеження результативності регуляторного </w:t>
      </w:r>
      <w:proofErr w:type="spellStart"/>
      <w:r w:rsidRPr="00085A4E">
        <w:rPr>
          <w:b/>
          <w:lang w:val="uk-UA"/>
        </w:rPr>
        <w:t>акта</w:t>
      </w:r>
      <w:proofErr w:type="spellEnd"/>
    </w:p>
    <w:p w:rsidR="007B7954" w:rsidRPr="00085A4E" w:rsidRDefault="007B7954" w:rsidP="007B7954">
      <w:pPr>
        <w:ind w:firstLine="567"/>
        <w:jc w:val="center"/>
        <w:rPr>
          <w:rFonts w:eastAsia="Times New Roman"/>
          <w:lang w:val="uk-UA"/>
        </w:rPr>
      </w:pPr>
      <w:r w:rsidRPr="00085A4E">
        <w:rPr>
          <w:rFonts w:eastAsia="Times New Roman"/>
          <w:lang w:val="uk-UA"/>
        </w:rPr>
        <w:t>Проект рішення виконавчого комітету міської ради</w:t>
      </w:r>
    </w:p>
    <w:p w:rsidR="007B7954" w:rsidRPr="00085A4E" w:rsidRDefault="007B7954" w:rsidP="007B7954">
      <w:pPr>
        <w:ind w:firstLine="567"/>
        <w:jc w:val="center"/>
        <w:rPr>
          <w:rFonts w:eastAsia="Times New Roman"/>
          <w:lang w:val="uk-UA"/>
        </w:rPr>
      </w:pPr>
      <w:r w:rsidRPr="00085A4E">
        <w:rPr>
          <w:rFonts w:eastAsia="Times New Roman"/>
          <w:lang w:val="uk-UA"/>
        </w:rPr>
        <w:t>«</w:t>
      </w:r>
      <w:r w:rsidRPr="00BA5F45">
        <w:rPr>
          <w:lang w:val="uk-UA"/>
        </w:rPr>
        <w:t>Про встановлення тарифів на послуги з перевезення пасажирів на міських автобусних маршрутах загального користування у місті Переяславі</w:t>
      </w:r>
      <w:r w:rsidRPr="00085A4E">
        <w:rPr>
          <w:rFonts w:eastAsia="Times New Roman"/>
          <w:lang w:val="uk-UA"/>
        </w:rPr>
        <w:t>»</w:t>
      </w:r>
    </w:p>
    <w:p w:rsidR="007B7954" w:rsidRPr="00085A4E" w:rsidRDefault="007B7954" w:rsidP="007B7954">
      <w:pPr>
        <w:ind w:firstLine="567"/>
        <w:jc w:val="both"/>
        <w:rPr>
          <w:rFonts w:eastAsia="Times New Roman"/>
          <w:b/>
          <w:u w:val="single"/>
          <w:lang w:val="uk-UA"/>
        </w:rPr>
      </w:pPr>
    </w:p>
    <w:p w:rsidR="007B7954" w:rsidRPr="00085A4E" w:rsidRDefault="007B7954" w:rsidP="007B7954">
      <w:pPr>
        <w:ind w:firstLine="567"/>
        <w:jc w:val="both"/>
        <w:rPr>
          <w:rFonts w:eastAsia="Times New Roman"/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>Виконавець заходів відстеження</w:t>
      </w:r>
      <w:r w:rsidRPr="00085A4E">
        <w:rPr>
          <w:rFonts w:eastAsia="Times New Roman"/>
          <w:lang w:val="uk-UA"/>
        </w:rPr>
        <w:t xml:space="preserve"> – </w:t>
      </w:r>
      <w:r>
        <w:rPr>
          <w:rFonts w:eastAsia="Times New Roman"/>
          <w:lang w:val="uk-UA"/>
        </w:rPr>
        <w:t>Відділ економіки та зовнішніх зв</w:t>
      </w:r>
      <w:r>
        <w:rPr>
          <w:rFonts w:eastAsia="Times New Roman"/>
          <w:lang w:val="en-US"/>
        </w:rPr>
        <w:t>`</w:t>
      </w:r>
      <w:proofErr w:type="spellStart"/>
      <w:r>
        <w:rPr>
          <w:rFonts w:eastAsia="Times New Roman"/>
          <w:lang w:val="uk-UA"/>
        </w:rPr>
        <w:t>язків</w:t>
      </w:r>
      <w:proofErr w:type="spellEnd"/>
      <w:r>
        <w:rPr>
          <w:rFonts w:eastAsia="Times New Roman"/>
          <w:lang w:val="uk-UA"/>
        </w:rPr>
        <w:t xml:space="preserve"> виконавчого комітету Переяславської міської ради</w:t>
      </w:r>
      <w:r w:rsidRPr="00085A4E">
        <w:rPr>
          <w:rFonts w:eastAsia="Times New Roman"/>
          <w:lang w:val="uk-UA"/>
        </w:rPr>
        <w:t>.</w:t>
      </w:r>
    </w:p>
    <w:p w:rsidR="007B7954" w:rsidRPr="00085A4E" w:rsidRDefault="007B7954" w:rsidP="007B7954">
      <w:pPr>
        <w:ind w:firstLine="567"/>
        <w:jc w:val="both"/>
        <w:rPr>
          <w:rFonts w:eastAsia="Times New Roman"/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 xml:space="preserve">Цілі прийняття </w:t>
      </w:r>
      <w:proofErr w:type="spellStart"/>
      <w:r w:rsidRPr="00085A4E">
        <w:rPr>
          <w:rFonts w:eastAsia="Times New Roman"/>
          <w:b/>
          <w:u w:val="single"/>
          <w:lang w:val="uk-UA"/>
        </w:rPr>
        <w:t>акта</w:t>
      </w:r>
      <w:proofErr w:type="spellEnd"/>
      <w:r w:rsidRPr="00085A4E">
        <w:rPr>
          <w:rFonts w:eastAsia="Times New Roman"/>
          <w:lang w:val="uk-UA"/>
        </w:rPr>
        <w:t xml:space="preserve"> </w:t>
      </w:r>
    </w:p>
    <w:p w:rsidR="007B7954" w:rsidRPr="00CF5D38" w:rsidRDefault="007B7954" w:rsidP="007B7954">
      <w:pPr>
        <w:ind w:firstLine="567"/>
        <w:jc w:val="both"/>
        <w:rPr>
          <w:lang w:val="uk-UA"/>
        </w:rPr>
      </w:pPr>
      <w:r w:rsidRPr="00085A4E">
        <w:rPr>
          <w:lang w:val="uk-UA"/>
        </w:rPr>
        <w:t xml:space="preserve">- </w:t>
      </w:r>
      <w:r w:rsidRPr="00CF5D38">
        <w:rPr>
          <w:lang w:val="uk-UA"/>
        </w:rPr>
        <w:t xml:space="preserve">приведення у відповідність тарифів на послуги з перевезення пасажирів до економічно обґрунтованого рівня і розрахункових витрат суб’єктів господарювання, які надають відповідні послуги; </w:t>
      </w:r>
    </w:p>
    <w:p w:rsidR="007B7954" w:rsidRPr="00BE4C21" w:rsidRDefault="007B7954" w:rsidP="007B7954">
      <w:pPr>
        <w:pStyle w:val="2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E4C21">
        <w:rPr>
          <w:rFonts w:ascii="Times New Roman" w:hAnsi="Times New Roman" w:cs="Times New Roman"/>
          <w:sz w:val="24"/>
          <w:szCs w:val="24"/>
        </w:rPr>
        <w:t>риведення тарифів у відповідність до економічно обґрунтованих витрат перевізників.</w:t>
      </w:r>
    </w:p>
    <w:p w:rsidR="007B7954" w:rsidRDefault="007B7954" w:rsidP="007B7954">
      <w:pPr>
        <w:pStyle w:val="2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E4C21">
        <w:rPr>
          <w:rFonts w:ascii="Times New Roman" w:hAnsi="Times New Roman" w:cs="Times New Roman"/>
          <w:sz w:val="24"/>
          <w:szCs w:val="24"/>
        </w:rPr>
        <w:t>абезпечення стабільної роботи міського</w:t>
      </w:r>
      <w:r>
        <w:rPr>
          <w:rFonts w:ascii="Times New Roman" w:hAnsi="Times New Roman" w:cs="Times New Roman"/>
          <w:sz w:val="24"/>
          <w:szCs w:val="24"/>
        </w:rPr>
        <w:t xml:space="preserve"> пасажирського транспорту;</w:t>
      </w:r>
    </w:p>
    <w:p w:rsidR="007B7954" w:rsidRDefault="007B7954" w:rsidP="007B7954">
      <w:pPr>
        <w:pStyle w:val="2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E4C21">
        <w:rPr>
          <w:rFonts w:ascii="Times New Roman" w:hAnsi="Times New Roman" w:cs="Times New Roman"/>
          <w:sz w:val="24"/>
          <w:szCs w:val="24"/>
        </w:rPr>
        <w:t>адоволення потреб мешканців у безпечних та якісних перевезеннях.</w:t>
      </w:r>
    </w:p>
    <w:p w:rsidR="007B7954" w:rsidRPr="00085A4E" w:rsidRDefault="007B7954" w:rsidP="007B7954">
      <w:pPr>
        <w:pStyle w:val="21"/>
        <w:shd w:val="clear" w:color="auto" w:fill="auto"/>
        <w:spacing w:line="240" w:lineRule="auto"/>
        <w:ind w:firstLine="567"/>
      </w:pPr>
    </w:p>
    <w:p w:rsidR="007B7954" w:rsidRPr="00085A4E" w:rsidRDefault="007B7954" w:rsidP="007B7954">
      <w:pPr>
        <w:ind w:firstLine="567"/>
        <w:jc w:val="both"/>
        <w:rPr>
          <w:rFonts w:eastAsia="Times New Roman"/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>Строк виконання заходів з відстеження</w:t>
      </w:r>
      <w:r w:rsidRPr="00085A4E">
        <w:rPr>
          <w:rFonts w:eastAsia="Times New Roman"/>
          <w:b/>
          <w:lang w:val="uk-UA"/>
        </w:rPr>
        <w:t xml:space="preserve"> </w:t>
      </w:r>
      <w:r w:rsidRPr="00085A4E">
        <w:rPr>
          <w:rFonts w:eastAsia="Times New Roman"/>
          <w:lang w:val="uk-UA"/>
        </w:rPr>
        <w:t xml:space="preserve">– </w:t>
      </w:r>
      <w:r>
        <w:rPr>
          <w:rFonts w:eastAsia="Times New Roman"/>
          <w:lang w:val="uk-UA"/>
        </w:rPr>
        <w:t xml:space="preserve">21 </w:t>
      </w:r>
      <w:r w:rsidRPr="00085A4E">
        <w:rPr>
          <w:rFonts w:eastAsia="Times New Roman"/>
          <w:lang w:val="uk-UA"/>
        </w:rPr>
        <w:t>д</w:t>
      </w:r>
      <w:r>
        <w:rPr>
          <w:rFonts w:eastAsia="Times New Roman"/>
          <w:lang w:val="uk-UA"/>
        </w:rPr>
        <w:t>ень</w:t>
      </w:r>
      <w:r w:rsidRPr="00085A4E">
        <w:rPr>
          <w:rFonts w:eastAsia="Times New Roman"/>
          <w:lang w:val="uk-UA"/>
        </w:rPr>
        <w:t xml:space="preserve"> </w:t>
      </w:r>
      <w:r w:rsidRPr="000B5824">
        <w:rPr>
          <w:rFonts w:eastAsia="Times New Roman"/>
          <w:lang w:val="uk-UA"/>
        </w:rPr>
        <w:t>(</w:t>
      </w:r>
      <w:r>
        <w:rPr>
          <w:rFonts w:eastAsia="Times New Roman"/>
          <w:lang w:val="uk-UA"/>
        </w:rPr>
        <w:t>01.04.2026</w:t>
      </w:r>
      <w:r w:rsidRPr="000B5824">
        <w:rPr>
          <w:rFonts w:eastAsia="Times New Roman"/>
          <w:lang w:val="uk-UA"/>
        </w:rPr>
        <w:t xml:space="preserve"> – 21.0</w:t>
      </w:r>
      <w:r>
        <w:rPr>
          <w:rFonts w:eastAsia="Times New Roman"/>
          <w:lang w:val="uk-UA"/>
        </w:rPr>
        <w:t>4</w:t>
      </w:r>
      <w:r w:rsidRPr="000B5824">
        <w:rPr>
          <w:rFonts w:eastAsia="Times New Roman"/>
          <w:lang w:val="uk-UA"/>
        </w:rPr>
        <w:t>.202</w:t>
      </w:r>
      <w:r>
        <w:rPr>
          <w:rFonts w:eastAsia="Times New Roman"/>
          <w:lang w:val="uk-UA"/>
        </w:rPr>
        <w:t>6</w:t>
      </w:r>
      <w:r w:rsidRPr="000B5824">
        <w:rPr>
          <w:rFonts w:eastAsia="Times New Roman"/>
          <w:lang w:val="uk-UA"/>
        </w:rPr>
        <w:t>)</w:t>
      </w:r>
    </w:p>
    <w:p w:rsidR="007B7954" w:rsidRPr="00085A4E" w:rsidRDefault="007B7954" w:rsidP="007B7954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color w:val="000000"/>
          <w:kern w:val="1"/>
          <w:lang w:val="uk-UA" w:eastAsia="hi-IN" w:bidi="hi-IN"/>
        </w:rPr>
      </w:pPr>
      <w:r w:rsidRPr="00085A4E">
        <w:rPr>
          <w:rFonts w:eastAsia="Lucida Sans Unicode"/>
          <w:b/>
          <w:color w:val="000000"/>
          <w:kern w:val="1"/>
          <w:u w:val="single"/>
          <w:lang w:val="uk-UA" w:eastAsia="hi-IN" w:bidi="hi-IN"/>
        </w:rPr>
        <w:t>Тип відстеження заходів</w:t>
      </w:r>
      <w:r w:rsidRPr="00085A4E">
        <w:rPr>
          <w:rFonts w:eastAsia="Lucida Sans Unicode"/>
          <w:b/>
          <w:color w:val="000000"/>
          <w:kern w:val="1"/>
          <w:lang w:val="uk-UA" w:eastAsia="hi-IN" w:bidi="hi-IN"/>
        </w:rPr>
        <w:t xml:space="preserve"> </w:t>
      </w:r>
      <w:r w:rsidRPr="00085A4E">
        <w:rPr>
          <w:rFonts w:eastAsia="Lucida Sans Unicode"/>
          <w:color w:val="000000"/>
          <w:kern w:val="1"/>
          <w:lang w:val="uk-UA" w:eastAsia="hi-IN" w:bidi="hi-IN"/>
        </w:rPr>
        <w:t>– базове.</w:t>
      </w:r>
    </w:p>
    <w:p w:rsidR="007B7954" w:rsidRPr="00085A4E" w:rsidRDefault="007B7954" w:rsidP="007B7954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color w:val="000000"/>
          <w:kern w:val="1"/>
          <w:lang w:val="uk-UA" w:eastAsia="hi-IN" w:bidi="hi-IN"/>
        </w:rPr>
      </w:pPr>
      <w:r w:rsidRPr="00085A4E">
        <w:rPr>
          <w:rFonts w:eastAsia="Lucida Sans Unicode"/>
          <w:b/>
          <w:color w:val="000000"/>
          <w:kern w:val="1"/>
          <w:u w:val="single"/>
          <w:lang w:val="uk-UA" w:eastAsia="hi-IN" w:bidi="hi-IN"/>
        </w:rPr>
        <w:t>Метод відстеження результативності</w:t>
      </w:r>
      <w:r w:rsidRPr="00085A4E">
        <w:rPr>
          <w:rFonts w:eastAsia="Lucida Sans Unicode"/>
          <w:color w:val="000000"/>
          <w:kern w:val="1"/>
          <w:lang w:val="uk-UA" w:eastAsia="hi-IN" w:bidi="hi-IN"/>
        </w:rPr>
        <w:t xml:space="preserve"> – аналіз відповідно до статистичних даних.</w:t>
      </w:r>
    </w:p>
    <w:p w:rsidR="007B7954" w:rsidRPr="00085A4E" w:rsidRDefault="007B7954" w:rsidP="007B7954">
      <w:pPr>
        <w:ind w:firstLine="567"/>
        <w:jc w:val="both"/>
        <w:rPr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>Аналіз отримання значень показників результативності</w:t>
      </w:r>
      <w:r w:rsidRPr="00085A4E">
        <w:rPr>
          <w:rFonts w:eastAsia="Times New Roman"/>
          <w:b/>
          <w:lang w:val="uk-UA"/>
        </w:rPr>
        <w:t xml:space="preserve"> – </w:t>
      </w:r>
      <w:bookmarkStart w:id="0" w:name="_GoBack"/>
      <w:r w:rsidRPr="009C56E4">
        <w:rPr>
          <w:rFonts w:eastAsia="Times New Roman"/>
          <w:lang w:val="uk-UA"/>
        </w:rPr>
        <w:t>в</w:t>
      </w:r>
      <w:bookmarkEnd w:id="0"/>
      <w:r w:rsidRPr="00085A4E">
        <w:rPr>
          <w:lang w:val="uk-UA"/>
        </w:rPr>
        <w:t xml:space="preserve">ідстеження результативності цього регуляторного </w:t>
      </w:r>
      <w:proofErr w:type="spellStart"/>
      <w:r w:rsidRPr="00085A4E">
        <w:rPr>
          <w:lang w:val="uk-UA"/>
        </w:rPr>
        <w:t>акта</w:t>
      </w:r>
      <w:proofErr w:type="spellEnd"/>
      <w:r w:rsidRPr="00085A4E">
        <w:rPr>
          <w:lang w:val="uk-UA"/>
        </w:rPr>
        <w:t xml:space="preserve"> здійснювалося шляхом аналізу інформації </w:t>
      </w:r>
      <w:r>
        <w:rPr>
          <w:rFonts w:eastAsia="Times New Roman"/>
          <w:lang w:val="uk-UA"/>
        </w:rPr>
        <w:t>відділу економіки та зовнішніх зв</w:t>
      </w:r>
      <w:r>
        <w:rPr>
          <w:rFonts w:eastAsia="Times New Roman"/>
          <w:lang w:val="en-US"/>
        </w:rPr>
        <w:t>`</w:t>
      </w:r>
      <w:proofErr w:type="spellStart"/>
      <w:r>
        <w:rPr>
          <w:rFonts w:eastAsia="Times New Roman"/>
          <w:lang w:val="uk-UA"/>
        </w:rPr>
        <w:t>язків</w:t>
      </w:r>
      <w:proofErr w:type="spellEnd"/>
      <w:r>
        <w:rPr>
          <w:rFonts w:eastAsia="Times New Roman"/>
          <w:lang w:val="uk-UA"/>
        </w:rPr>
        <w:t xml:space="preserve"> виконавчого комітету Переяславської міської ради</w:t>
      </w:r>
      <w:r w:rsidRPr="00085A4E">
        <w:rPr>
          <w:rFonts w:eastAsia="Times New Roman"/>
          <w:lang w:val="uk-UA"/>
        </w:rPr>
        <w:t>.</w:t>
      </w:r>
    </w:p>
    <w:p w:rsidR="007B7954" w:rsidRPr="00085A4E" w:rsidRDefault="007B7954" w:rsidP="007B7954">
      <w:pPr>
        <w:spacing w:line="276" w:lineRule="auto"/>
        <w:ind w:firstLine="567"/>
        <w:jc w:val="both"/>
        <w:rPr>
          <w:rStyle w:val="211pt1"/>
        </w:rPr>
      </w:pPr>
    </w:p>
    <w:p w:rsidR="007B7954" w:rsidRPr="00085A4E" w:rsidRDefault="007B7954" w:rsidP="007B7954">
      <w:pPr>
        <w:spacing w:line="276" w:lineRule="auto"/>
        <w:ind w:firstLine="567"/>
        <w:jc w:val="both"/>
        <w:rPr>
          <w:rFonts w:eastAsia="Times New Roman"/>
          <w:b/>
          <w:u w:val="single"/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>Показники результативності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9"/>
        <w:gridCol w:w="1134"/>
        <w:gridCol w:w="1134"/>
        <w:gridCol w:w="1251"/>
      </w:tblGrid>
      <w:tr w:rsidR="007B7954" w:rsidRPr="000B0530" w:rsidTr="002C4E46">
        <w:trPr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 w:rsidRPr="000B0530">
              <w:rPr>
                <w:lang w:val="uk-UA"/>
              </w:rPr>
              <w:t>Показник</w:t>
            </w:r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251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</w:tr>
      <w:tr w:rsidR="007B7954" w:rsidRPr="000B0530" w:rsidTr="002C4E46">
        <w:trPr>
          <w:trHeight w:val="300"/>
          <w:jc w:val="center"/>
        </w:trPr>
        <w:tc>
          <w:tcPr>
            <w:tcW w:w="9278" w:type="dxa"/>
            <w:gridSpan w:val="4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Кількісні</w:t>
            </w:r>
          </w:p>
        </w:tc>
      </w:tr>
      <w:tr w:rsidR="007B7954" w:rsidRPr="000B0530" w:rsidTr="002C4E46">
        <w:trPr>
          <w:trHeight w:val="240"/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 xml:space="preserve">Кількість суб’єктів господарювання, на яких поширюється дія даного регуляторного </w:t>
            </w:r>
            <w:proofErr w:type="spellStart"/>
            <w:r w:rsidRPr="000B0530">
              <w:rPr>
                <w:lang w:val="uk-UA"/>
              </w:rPr>
              <w:t>акта</w:t>
            </w:r>
            <w:proofErr w:type="spellEnd"/>
            <w:r w:rsidRPr="000B0530">
              <w:rPr>
                <w:lang w:val="uk-UA"/>
              </w:rPr>
              <w:t>, од.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51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B7954" w:rsidRPr="000B0530" w:rsidTr="002C4E46">
        <w:trPr>
          <w:trHeight w:val="240"/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 xml:space="preserve">Кількість діючих міських автобусних </w:t>
            </w:r>
            <w:proofErr w:type="spellStart"/>
            <w:r w:rsidRPr="000B0530">
              <w:rPr>
                <w:lang w:val="uk-UA"/>
              </w:rPr>
              <w:t>маршрутів,од</w:t>
            </w:r>
            <w:proofErr w:type="spellEnd"/>
            <w:r w:rsidRPr="000B0530">
              <w:rPr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51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B7954" w:rsidRPr="000B0530" w:rsidTr="002C4E46">
        <w:trPr>
          <w:trHeight w:val="240"/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Кількість діючих міських автобусних маршрутів</w:t>
            </w:r>
            <w:r>
              <w:rPr>
                <w:lang w:val="uk-UA"/>
              </w:rPr>
              <w:t xml:space="preserve"> на яких здійснюються перевезення </w:t>
            </w:r>
            <w:proofErr w:type="spellStart"/>
            <w:r>
              <w:rPr>
                <w:lang w:val="uk-UA"/>
              </w:rPr>
              <w:t>пасажирів</w:t>
            </w:r>
            <w:r w:rsidRPr="000B0530">
              <w:rPr>
                <w:lang w:val="uk-UA"/>
              </w:rPr>
              <w:t>,од</w:t>
            </w:r>
            <w:proofErr w:type="spellEnd"/>
            <w:r w:rsidRPr="000B0530">
              <w:rPr>
                <w:lang w:val="uk-UA"/>
              </w:rPr>
              <w:t>.</w:t>
            </w:r>
          </w:p>
        </w:tc>
        <w:tc>
          <w:tcPr>
            <w:tcW w:w="1134" w:type="dxa"/>
            <w:vAlign w:val="center"/>
          </w:tcPr>
          <w:p w:rsidR="007B7954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51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B7954" w:rsidRPr="000B0530" w:rsidTr="002C4E46">
        <w:trPr>
          <w:trHeight w:val="345"/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Кількість автобусів, які виконують перевезення пасажирів на міських маршрутах, од.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51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B7954" w:rsidRPr="000B0530" w:rsidTr="002C4E46">
        <w:trPr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Кількість скарг/звернень громадян на якість надання відповідних послуг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51" w:type="dxa"/>
            <w:vAlign w:val="center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B7954" w:rsidRPr="000B0530" w:rsidTr="002C4E46">
        <w:trPr>
          <w:jc w:val="center"/>
        </w:trPr>
        <w:tc>
          <w:tcPr>
            <w:tcW w:w="9278" w:type="dxa"/>
            <w:gridSpan w:val="4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Якісні (у бальній системі)*</w:t>
            </w:r>
          </w:p>
        </w:tc>
      </w:tr>
      <w:tr w:rsidR="007B7954" w:rsidRPr="000B0530" w:rsidTr="002C4E46">
        <w:trPr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>показники якості надання послуг пасажирського транспорту загального користування (згідно з опитуваннями, консультаціями з громадськістю тощо)*</w:t>
            </w:r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 w:rsidRPr="000B0530">
              <w:rPr>
                <w:lang w:val="uk-UA"/>
              </w:rPr>
              <w:t>3</w:t>
            </w:r>
          </w:p>
        </w:tc>
        <w:tc>
          <w:tcPr>
            <w:tcW w:w="1251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B7954" w:rsidRPr="000B0530" w:rsidTr="002C4E46">
        <w:trPr>
          <w:jc w:val="center"/>
        </w:trPr>
        <w:tc>
          <w:tcPr>
            <w:tcW w:w="5759" w:type="dxa"/>
          </w:tcPr>
          <w:p w:rsidR="007B7954" w:rsidRPr="000B0530" w:rsidRDefault="007B7954" w:rsidP="002C4E46">
            <w:pPr>
              <w:rPr>
                <w:lang w:val="uk-UA"/>
              </w:rPr>
            </w:pPr>
            <w:r w:rsidRPr="000B0530">
              <w:rPr>
                <w:lang w:val="uk-UA"/>
              </w:rPr>
              <w:t xml:space="preserve">рівень поінформованості суб'єктів господарювання (перевізників) та громадян міста з основних положень </w:t>
            </w:r>
            <w:proofErr w:type="spellStart"/>
            <w:r w:rsidRPr="000B0530">
              <w:rPr>
                <w:lang w:val="uk-UA"/>
              </w:rPr>
              <w:t>акта</w:t>
            </w:r>
            <w:proofErr w:type="spellEnd"/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 w:rsidRPr="000B0530">
              <w:rPr>
                <w:lang w:val="uk-UA"/>
              </w:rPr>
              <w:t>100%</w:t>
            </w:r>
          </w:p>
        </w:tc>
        <w:tc>
          <w:tcPr>
            <w:tcW w:w="1134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 w:rsidRPr="000B0530">
              <w:rPr>
                <w:lang w:val="uk-UA"/>
              </w:rPr>
              <w:t>100%</w:t>
            </w:r>
          </w:p>
        </w:tc>
        <w:tc>
          <w:tcPr>
            <w:tcW w:w="1251" w:type="dxa"/>
          </w:tcPr>
          <w:p w:rsidR="007B7954" w:rsidRPr="000B0530" w:rsidRDefault="007B7954" w:rsidP="002C4E46">
            <w:pPr>
              <w:jc w:val="center"/>
              <w:rPr>
                <w:lang w:val="uk-UA"/>
              </w:rPr>
            </w:pPr>
            <w:r w:rsidRPr="000B0530">
              <w:rPr>
                <w:lang w:val="uk-UA"/>
              </w:rPr>
              <w:t>100%</w:t>
            </w:r>
          </w:p>
        </w:tc>
      </w:tr>
    </w:tbl>
    <w:p w:rsidR="007B7954" w:rsidRPr="00085A4E" w:rsidRDefault="007B7954" w:rsidP="007B7954">
      <w:pPr>
        <w:ind w:firstLine="567"/>
        <w:jc w:val="both"/>
        <w:rPr>
          <w:rStyle w:val="211pt1"/>
        </w:rPr>
      </w:pPr>
    </w:p>
    <w:p w:rsidR="007B7954" w:rsidRPr="00085A4E" w:rsidRDefault="007B7954" w:rsidP="007B7954">
      <w:pPr>
        <w:ind w:firstLine="567"/>
        <w:jc w:val="both"/>
        <w:rPr>
          <w:lang w:val="uk-UA"/>
        </w:rPr>
      </w:pPr>
      <w:r w:rsidRPr="00085A4E">
        <w:rPr>
          <w:rStyle w:val="211pt1"/>
        </w:rPr>
        <w:t>* Оцінка здійснюватиметься за 6-бальною системою, за якою: 6 балів - досягнуто у високій мірі результат якісного показника, 5 балів - досягнуто на 100% якісного показника, 4 бали - досягнуто на 75% результату якісного показника, 3 бали - досягнуто на 50% результату якісного показника, 2 бали - досягнуто на 25% результату якісного показника, 1 бал - показника практично не досягнуто.</w:t>
      </w:r>
    </w:p>
    <w:p w:rsidR="009C56E4" w:rsidRDefault="009C56E4" w:rsidP="007B7954">
      <w:pPr>
        <w:spacing w:line="276" w:lineRule="auto"/>
        <w:ind w:firstLine="567"/>
        <w:jc w:val="both"/>
        <w:rPr>
          <w:rFonts w:eastAsia="Times New Roman"/>
          <w:b/>
          <w:u w:val="single"/>
          <w:lang w:val="uk-UA"/>
        </w:rPr>
      </w:pPr>
    </w:p>
    <w:p w:rsidR="007B7954" w:rsidRPr="00085A4E" w:rsidRDefault="007B7954" w:rsidP="007B7954">
      <w:pPr>
        <w:spacing w:line="276" w:lineRule="auto"/>
        <w:ind w:firstLine="567"/>
        <w:jc w:val="both"/>
        <w:rPr>
          <w:rFonts w:eastAsia="Times New Roman"/>
          <w:lang w:val="uk-UA"/>
        </w:rPr>
      </w:pPr>
      <w:r w:rsidRPr="00085A4E">
        <w:rPr>
          <w:rFonts w:eastAsia="Times New Roman"/>
          <w:b/>
          <w:u w:val="single"/>
          <w:lang w:val="uk-UA"/>
        </w:rPr>
        <w:t>Висновки та рекомендації</w:t>
      </w:r>
      <w:r w:rsidRPr="00085A4E">
        <w:rPr>
          <w:rFonts w:eastAsia="Times New Roman"/>
          <w:lang w:val="uk-UA"/>
        </w:rPr>
        <w:t xml:space="preserve"> </w:t>
      </w:r>
    </w:p>
    <w:p w:rsidR="007B7954" w:rsidRPr="00085A4E" w:rsidRDefault="007B7954" w:rsidP="007B7954">
      <w:pPr>
        <w:spacing w:line="276" w:lineRule="auto"/>
        <w:ind w:firstLine="567"/>
        <w:jc w:val="both"/>
        <w:rPr>
          <w:rFonts w:eastAsia="Times New Roman"/>
          <w:lang w:val="uk-UA"/>
        </w:rPr>
      </w:pPr>
    </w:p>
    <w:p w:rsidR="007B7954" w:rsidRPr="00085A4E" w:rsidRDefault="007B7954" w:rsidP="007B7954">
      <w:pPr>
        <w:ind w:firstLine="567"/>
        <w:jc w:val="both"/>
        <w:rPr>
          <w:rFonts w:eastAsia="Times New Roman"/>
          <w:lang w:val="uk-UA"/>
        </w:rPr>
      </w:pPr>
      <w:r w:rsidRPr="00085A4E">
        <w:rPr>
          <w:rFonts w:eastAsia="Times New Roman"/>
          <w:color w:val="000000"/>
          <w:lang w:val="uk-UA"/>
        </w:rPr>
        <w:t xml:space="preserve">Прийняття рішення виконавчим комітетом </w:t>
      </w:r>
      <w:r>
        <w:rPr>
          <w:rFonts w:eastAsia="Times New Roman"/>
          <w:color w:val="000000"/>
          <w:lang w:val="uk-UA"/>
        </w:rPr>
        <w:t xml:space="preserve">Переяславської міської </w:t>
      </w:r>
      <w:r w:rsidRPr="00085A4E">
        <w:rPr>
          <w:rFonts w:eastAsia="Times New Roman"/>
          <w:color w:val="000000"/>
          <w:lang w:val="uk-UA"/>
        </w:rPr>
        <w:t xml:space="preserve">ради </w:t>
      </w:r>
      <w:r w:rsidRPr="00085A4E">
        <w:rPr>
          <w:rFonts w:eastAsia="Times New Roman"/>
          <w:lang w:val="uk-UA"/>
        </w:rPr>
        <w:t>«</w:t>
      </w:r>
      <w:r w:rsidRPr="00BA3E7C">
        <w:rPr>
          <w:lang w:val="uk-UA"/>
        </w:rPr>
        <w:t>Про встановлення тарифів на послуги з перевезення пасажирів на міських автобусних маршрутах загального користування у місті Переяславі</w:t>
      </w:r>
      <w:r w:rsidRPr="00085A4E">
        <w:rPr>
          <w:rFonts w:eastAsia="Times New Roman"/>
          <w:lang w:val="uk-UA"/>
        </w:rPr>
        <w:t xml:space="preserve">» </w:t>
      </w:r>
      <w:r w:rsidRPr="00085A4E">
        <w:rPr>
          <w:lang w:val="uk-UA"/>
        </w:rPr>
        <w:t xml:space="preserve">дозволить сформувати прозорі, чіткі та зрозумілі </w:t>
      </w:r>
      <w:r w:rsidRPr="00085A4E">
        <w:rPr>
          <w:lang w:val="uk-UA"/>
        </w:rPr>
        <w:lastRenderedPageBreak/>
        <w:t xml:space="preserve">правила поведінки суб'єктів підприємницької діяльності та споживачів на ринку пасажирських перевезень </w:t>
      </w:r>
      <w:r>
        <w:rPr>
          <w:lang w:val="uk-UA"/>
        </w:rPr>
        <w:t>у громаді</w:t>
      </w:r>
      <w:r w:rsidRPr="00085A4E">
        <w:rPr>
          <w:lang w:val="uk-UA"/>
        </w:rPr>
        <w:t xml:space="preserve"> та забезпечить безпеку та якість транспортного обслуговування населення на </w:t>
      </w:r>
      <w:r>
        <w:rPr>
          <w:lang w:val="uk-UA"/>
        </w:rPr>
        <w:t xml:space="preserve">міських </w:t>
      </w:r>
      <w:r w:rsidRPr="00085A4E">
        <w:rPr>
          <w:lang w:val="uk-UA"/>
        </w:rPr>
        <w:t>автобусних маршрутах загального користування</w:t>
      </w:r>
      <w:r w:rsidRPr="00085A4E">
        <w:rPr>
          <w:rFonts w:eastAsia="Times New Roman"/>
          <w:color w:val="000000"/>
          <w:lang w:val="uk-UA"/>
        </w:rPr>
        <w:t>.</w:t>
      </w:r>
    </w:p>
    <w:p w:rsidR="007B7954" w:rsidRPr="00085A4E" w:rsidRDefault="007B7954" w:rsidP="007B7954">
      <w:pPr>
        <w:ind w:firstLine="567"/>
        <w:jc w:val="both"/>
        <w:rPr>
          <w:rFonts w:eastAsia="Times New Roman"/>
          <w:color w:val="000000"/>
          <w:lang w:val="uk-UA"/>
        </w:rPr>
      </w:pPr>
      <w:r w:rsidRPr="00085A4E">
        <w:rPr>
          <w:rFonts w:eastAsia="Times New Roman"/>
          <w:color w:val="000000"/>
          <w:lang w:val="uk-UA"/>
        </w:rPr>
        <w:t xml:space="preserve">Оцінку результатів реалізації регуляторного </w:t>
      </w:r>
      <w:proofErr w:type="spellStart"/>
      <w:r w:rsidRPr="00085A4E">
        <w:rPr>
          <w:rFonts w:eastAsia="Times New Roman"/>
          <w:color w:val="000000"/>
          <w:lang w:val="uk-UA"/>
        </w:rPr>
        <w:t>акта</w:t>
      </w:r>
      <w:proofErr w:type="spellEnd"/>
      <w:r w:rsidRPr="00085A4E">
        <w:rPr>
          <w:rFonts w:eastAsia="Times New Roman"/>
          <w:color w:val="000000"/>
          <w:lang w:val="uk-UA"/>
        </w:rPr>
        <w:t xml:space="preserve"> та ступінь досягнення визначених цілей буде здійснено при проведені повторного та періодичного </w:t>
      </w:r>
      <w:proofErr w:type="spellStart"/>
      <w:r w:rsidRPr="00085A4E">
        <w:rPr>
          <w:rFonts w:eastAsia="Times New Roman"/>
          <w:color w:val="000000"/>
          <w:lang w:val="uk-UA"/>
        </w:rPr>
        <w:t>відстежень</w:t>
      </w:r>
      <w:proofErr w:type="spellEnd"/>
      <w:r w:rsidRPr="00085A4E">
        <w:rPr>
          <w:rFonts w:eastAsia="Times New Roman"/>
          <w:color w:val="000000"/>
          <w:lang w:val="uk-UA"/>
        </w:rPr>
        <w:t xml:space="preserve"> результативності регуляторного </w:t>
      </w:r>
      <w:proofErr w:type="spellStart"/>
      <w:r w:rsidRPr="00085A4E">
        <w:rPr>
          <w:rFonts w:eastAsia="Times New Roman"/>
          <w:color w:val="000000"/>
          <w:lang w:val="uk-UA"/>
        </w:rPr>
        <w:t>акта</w:t>
      </w:r>
      <w:proofErr w:type="spellEnd"/>
      <w:r w:rsidRPr="00085A4E">
        <w:rPr>
          <w:rFonts w:eastAsia="Times New Roman"/>
          <w:color w:val="000000"/>
          <w:lang w:val="uk-UA"/>
        </w:rPr>
        <w:t xml:space="preserve"> згідно вимог ЗУ «Про засади державної регуляторної політики у сфері господарської діяльності».</w:t>
      </w:r>
    </w:p>
    <w:p w:rsidR="007B7954" w:rsidRPr="00085A4E" w:rsidRDefault="007B7954" w:rsidP="007B7954">
      <w:pPr>
        <w:spacing w:line="276" w:lineRule="auto"/>
        <w:ind w:firstLine="567"/>
        <w:rPr>
          <w:rFonts w:eastAsia="Times New Roman"/>
          <w:color w:val="000000"/>
          <w:lang w:val="uk-UA"/>
        </w:rPr>
      </w:pPr>
    </w:p>
    <w:p w:rsidR="007B7954" w:rsidRPr="00085A4E" w:rsidRDefault="007B7954" w:rsidP="007B7954">
      <w:pPr>
        <w:spacing w:line="276" w:lineRule="auto"/>
        <w:ind w:firstLine="567"/>
        <w:rPr>
          <w:rFonts w:eastAsia="Times New Roman"/>
          <w:color w:val="000000"/>
          <w:lang w:val="uk-UA"/>
        </w:rPr>
      </w:pPr>
    </w:p>
    <w:p w:rsidR="007B7954" w:rsidRDefault="007B7954" w:rsidP="007B7954">
      <w:pPr>
        <w:spacing w:line="276" w:lineRule="auto"/>
        <w:ind w:firstLine="567"/>
        <w:rPr>
          <w:rFonts w:eastAsia="Times New Roman"/>
          <w:color w:val="000000"/>
          <w:lang w:val="uk-UA"/>
        </w:rPr>
      </w:pPr>
    </w:p>
    <w:p w:rsidR="007B7954" w:rsidRPr="005A1545" w:rsidRDefault="007B7954" w:rsidP="007B7954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t>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Ольга ОГІЄВИЧ</w:t>
      </w:r>
    </w:p>
    <w:p w:rsidR="007B7954" w:rsidRPr="005A1545" w:rsidRDefault="007B7954" w:rsidP="007B7954">
      <w:pPr>
        <w:spacing w:after="200" w:line="276" w:lineRule="auto"/>
        <w:ind w:firstLine="567"/>
        <w:rPr>
          <w:b/>
          <w:lang w:val="uk-UA"/>
        </w:rPr>
      </w:pPr>
    </w:p>
    <w:p w:rsidR="007B7954" w:rsidRDefault="007B7954" w:rsidP="007B7954">
      <w:pPr>
        <w:rPr>
          <w:b/>
          <w:lang w:val="uk-UA"/>
        </w:rPr>
      </w:pPr>
      <w:r>
        <w:rPr>
          <w:b/>
          <w:lang w:val="uk-UA"/>
        </w:rPr>
        <w:t>Начальник відділу економіки</w:t>
      </w:r>
    </w:p>
    <w:p w:rsidR="007B7954" w:rsidRPr="005A1545" w:rsidRDefault="007B7954" w:rsidP="007B7954">
      <w:pPr>
        <w:rPr>
          <w:b/>
          <w:i/>
          <w:lang w:val="uk-UA"/>
        </w:rPr>
      </w:pPr>
      <w:r>
        <w:rPr>
          <w:b/>
          <w:lang w:val="uk-UA"/>
        </w:rPr>
        <w:t>та зовнішніх зв</w:t>
      </w:r>
      <w:r>
        <w:rPr>
          <w:b/>
          <w:lang w:val="en-US"/>
        </w:rPr>
        <w:t>`</w:t>
      </w:r>
      <w:proofErr w:type="spellStart"/>
      <w:r>
        <w:rPr>
          <w:b/>
          <w:lang w:val="uk-UA"/>
        </w:rPr>
        <w:t>язків</w:t>
      </w:r>
      <w:proofErr w:type="spellEnd"/>
      <w:r w:rsidRPr="005A1545">
        <w:rPr>
          <w:b/>
          <w:lang w:val="uk-UA"/>
        </w:rPr>
        <w:t xml:space="preserve"> </w:t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 w:rsidRPr="005A1545">
        <w:rPr>
          <w:b/>
          <w:lang w:val="uk-UA"/>
        </w:rPr>
        <w:tab/>
      </w:r>
      <w:r>
        <w:rPr>
          <w:b/>
          <w:lang w:val="uk-UA"/>
        </w:rPr>
        <w:t>Оксана ЗНАК</w:t>
      </w:r>
    </w:p>
    <w:p w:rsidR="007B7954" w:rsidRPr="00085A4E" w:rsidRDefault="007B7954" w:rsidP="007B7954">
      <w:pPr>
        <w:spacing w:line="276" w:lineRule="auto"/>
        <w:ind w:firstLine="567"/>
        <w:jc w:val="center"/>
        <w:rPr>
          <w:b/>
          <w:lang w:val="uk-UA"/>
        </w:rPr>
      </w:pPr>
    </w:p>
    <w:p w:rsidR="005E2AFB" w:rsidRDefault="005E2AFB" w:rsidP="007B7954"/>
    <w:sectPr w:rsidR="005E2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54"/>
    <w:rsid w:val="005E2AFB"/>
    <w:rsid w:val="007B7954"/>
    <w:rsid w:val="009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DE2F"/>
  <w15:chartTrackingRefBased/>
  <w15:docId w15:val="{15ABD205-FCF7-4A8F-BFDC-ED787661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7B795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B7954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211pt1">
    <w:name w:val="Основной текст (2) + 11 pt1"/>
    <w:basedOn w:val="2"/>
    <w:rsid w:val="007B795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2026-05-05T12:50:00Z</dcterms:created>
  <dcterms:modified xsi:type="dcterms:W3CDTF">2026-05-05T12:55:00Z</dcterms:modified>
</cp:coreProperties>
</file>