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3A2F34" w:rsidRPr="003A2F34" w:rsidRDefault="00D80666" w:rsidP="003A2F34">
      <w:pPr>
        <w:spacing w:after="0" w:line="240" w:lineRule="auto"/>
        <w:jc w:val="center"/>
        <w:rPr>
          <w:rFonts w:ascii="Times New Roman" w:hAnsi="Times New Roman"/>
          <w:b/>
          <w:bCs/>
          <w:sz w:val="28"/>
          <w:szCs w:val="28"/>
        </w:rPr>
      </w:pPr>
      <w:r w:rsidRPr="00D80666">
        <w:rPr>
          <w:rFonts w:ascii="Times New Roman" w:hAnsi="Times New Roman"/>
          <w:b/>
          <w:bCs/>
          <w:sz w:val="28"/>
          <w:szCs w:val="28"/>
        </w:rPr>
        <w:t>Суміші асфальтобетонні гарячі</w:t>
      </w:r>
      <w:r w:rsidR="003A2F34" w:rsidRPr="003A2F34">
        <w:rPr>
          <w:rFonts w:ascii="Times New Roman" w:hAnsi="Times New Roman"/>
          <w:b/>
          <w:bCs/>
          <w:sz w:val="28"/>
          <w:szCs w:val="28"/>
        </w:rPr>
        <w:t xml:space="preserve"> </w:t>
      </w:r>
    </w:p>
    <w:p w:rsidR="00411321" w:rsidRPr="00F270EE" w:rsidRDefault="003A2F34" w:rsidP="003A2F34">
      <w:pPr>
        <w:spacing w:after="0" w:line="240" w:lineRule="auto"/>
        <w:jc w:val="center"/>
        <w:rPr>
          <w:rFonts w:ascii="Times New Roman" w:hAnsi="Times New Roman"/>
          <w:color w:val="000000"/>
          <w:sz w:val="24"/>
          <w:szCs w:val="24"/>
        </w:rPr>
      </w:pPr>
      <w:r w:rsidRPr="003A2F34">
        <w:rPr>
          <w:rFonts w:ascii="Times New Roman" w:hAnsi="Times New Roman"/>
          <w:b/>
          <w:bCs/>
          <w:sz w:val="28"/>
          <w:szCs w:val="28"/>
        </w:rPr>
        <w:t xml:space="preserve">Код </w:t>
      </w:r>
      <w:proofErr w:type="spellStart"/>
      <w:r w:rsidRPr="003A2F34">
        <w:rPr>
          <w:rFonts w:ascii="Times New Roman" w:hAnsi="Times New Roman"/>
          <w:b/>
          <w:bCs/>
          <w:sz w:val="28"/>
          <w:szCs w:val="28"/>
        </w:rPr>
        <w:t>ДК</w:t>
      </w:r>
      <w:proofErr w:type="spellEnd"/>
      <w:r w:rsidRPr="003A2F34">
        <w:rPr>
          <w:rFonts w:ascii="Times New Roman" w:hAnsi="Times New Roman"/>
          <w:b/>
          <w:bCs/>
          <w:sz w:val="28"/>
          <w:szCs w:val="28"/>
        </w:rPr>
        <w:t xml:space="preserve"> 021:2015: </w:t>
      </w:r>
      <w:r w:rsidR="00D80666" w:rsidRPr="00D80666">
        <w:rPr>
          <w:rFonts w:ascii="Times New Roman" w:hAnsi="Times New Roman"/>
          <w:b/>
          <w:bCs/>
          <w:sz w:val="28"/>
          <w:szCs w:val="28"/>
        </w:rPr>
        <w:t>44110000-4 - Конструкційні матеріали</w:t>
      </w:r>
    </w:p>
    <w:p w:rsidR="00BF25F2" w:rsidRPr="00F270EE" w:rsidRDefault="00BF25F2" w:rsidP="00BF25F2">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D80666">
          <w:rPr>
            <w:rStyle w:val="js-apiid"/>
            <w:rFonts w:ascii="Times New Roman" w:hAnsi="Times New Roman" w:cs="Times New Roman"/>
            <w:b/>
            <w:color w:val="000000"/>
            <w:sz w:val="24"/>
            <w:szCs w:val="24"/>
            <w:bdr w:val="none" w:sz="0" w:space="0" w:color="auto" w:frame="1"/>
            <w:shd w:val="clear" w:color="auto" w:fill="EEEEEE"/>
          </w:rPr>
          <w:t>UA-202</w:t>
        </w:r>
        <w:r w:rsidR="00A604C8">
          <w:rPr>
            <w:rStyle w:val="js-apiid"/>
            <w:rFonts w:ascii="Times New Roman" w:hAnsi="Times New Roman" w:cs="Times New Roman"/>
            <w:b/>
            <w:color w:val="000000"/>
            <w:sz w:val="24"/>
            <w:szCs w:val="24"/>
            <w:bdr w:val="none" w:sz="0" w:space="0" w:color="auto" w:frame="1"/>
            <w:shd w:val="clear" w:color="auto" w:fill="EEEEEE"/>
          </w:rPr>
          <w:t>6</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D80666" w:rsidRPr="00D80666">
          <w:rPr>
            <w:rStyle w:val="js-apiid"/>
            <w:rFonts w:ascii="Times New Roman" w:hAnsi="Times New Roman" w:cs="Times New Roman"/>
            <w:b/>
            <w:color w:val="000000"/>
            <w:sz w:val="24"/>
            <w:szCs w:val="24"/>
            <w:bdr w:val="none" w:sz="0" w:space="0" w:color="auto" w:frame="1"/>
            <w:shd w:val="clear" w:color="auto" w:fill="EEEEEE"/>
          </w:rPr>
          <w:t>0</w:t>
        </w:r>
        <w:r w:rsidR="00A604C8">
          <w:rPr>
            <w:rStyle w:val="js-apiid"/>
            <w:rFonts w:ascii="Times New Roman" w:hAnsi="Times New Roman" w:cs="Times New Roman"/>
            <w:b/>
            <w:color w:val="000000"/>
            <w:sz w:val="24"/>
            <w:szCs w:val="24"/>
            <w:bdr w:val="none" w:sz="0" w:space="0" w:color="auto" w:frame="1"/>
            <w:shd w:val="clear" w:color="auto" w:fill="EEEEEE"/>
          </w:rPr>
          <w:t>3</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A604C8">
          <w:rPr>
            <w:rStyle w:val="js-apiid"/>
            <w:rFonts w:ascii="Times New Roman" w:hAnsi="Times New Roman" w:cs="Times New Roman"/>
            <w:b/>
            <w:color w:val="000000"/>
            <w:sz w:val="24"/>
            <w:szCs w:val="24"/>
            <w:bdr w:val="none" w:sz="0" w:space="0" w:color="auto" w:frame="1"/>
            <w:shd w:val="clear" w:color="auto" w:fill="EEEEEE"/>
          </w:rPr>
          <w:t>20</w:t>
        </w:r>
        <w:r w:rsidR="008D3567" w:rsidRPr="00D80666">
          <w:rPr>
            <w:rStyle w:val="js-apiid"/>
            <w:rFonts w:ascii="Times New Roman" w:hAnsi="Times New Roman" w:cs="Times New Roman"/>
            <w:b/>
            <w:color w:val="000000"/>
            <w:sz w:val="24"/>
            <w:szCs w:val="24"/>
            <w:bdr w:val="none" w:sz="0" w:space="0" w:color="auto" w:frame="1"/>
            <w:shd w:val="clear" w:color="auto" w:fill="EEEEEE"/>
          </w:rPr>
          <w:t>-</w:t>
        </w:r>
        <w:r w:rsidR="00A604C8">
          <w:rPr>
            <w:rStyle w:val="js-apiid"/>
            <w:rFonts w:ascii="Times New Roman" w:hAnsi="Times New Roman" w:cs="Times New Roman"/>
            <w:b/>
            <w:color w:val="000000"/>
            <w:sz w:val="24"/>
            <w:szCs w:val="24"/>
            <w:bdr w:val="none" w:sz="0" w:space="0" w:color="auto" w:frame="1"/>
            <w:shd w:val="clear" w:color="auto" w:fill="EEEEEE"/>
          </w:rPr>
          <w:t>000949</w:t>
        </w:r>
        <w:r w:rsidR="008D3567" w:rsidRPr="00D80666">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A604C8">
        <w:rPr>
          <w:rFonts w:ascii="Times New Roman" w:hAnsi="Times New Roman" w:cs="Times New Roman"/>
          <w:b/>
          <w:sz w:val="24"/>
          <w:szCs w:val="24"/>
        </w:rPr>
        <w:t>600 000</w:t>
      </w:r>
      <w:r w:rsidR="00D80666" w:rsidRPr="00D80666">
        <w:rPr>
          <w:rFonts w:ascii="Times New Roman" w:hAnsi="Times New Roman" w:cs="Times New Roman"/>
          <w:b/>
          <w:sz w:val="24"/>
          <w:szCs w:val="24"/>
        </w:rPr>
        <w:t xml:space="preserve">,00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Pr="00F270EE"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162"/>
        <w:gridCol w:w="807"/>
        <w:gridCol w:w="6"/>
        <w:gridCol w:w="904"/>
        <w:gridCol w:w="4900"/>
      </w:tblGrid>
      <w:tr w:rsidR="003A2F34" w:rsidRPr="00F24A85" w:rsidTr="00D80666">
        <w:trPr>
          <w:trHeight w:val="1012"/>
        </w:trPr>
        <w:tc>
          <w:tcPr>
            <w:tcW w:w="262"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3A2F34" w:rsidRPr="00F24A85" w:rsidRDefault="003A2F34" w:rsidP="00B31352">
            <w:pPr>
              <w:spacing w:before="20" w:after="20" w:line="240" w:lineRule="auto"/>
              <w:jc w:val="center"/>
              <w:rPr>
                <w:rFonts w:ascii="Times New Roman" w:hAnsi="Times New Roman"/>
                <w:b/>
              </w:rPr>
            </w:pPr>
            <w:r w:rsidRPr="00F24A85">
              <w:rPr>
                <w:rFonts w:ascii="Times New Roman" w:hAnsi="Times New Roman"/>
                <w:b/>
              </w:rPr>
              <w:t>№ п/п</w:t>
            </w:r>
          </w:p>
        </w:tc>
        <w:tc>
          <w:tcPr>
            <w:tcW w:w="1532"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3A2F34" w:rsidRDefault="003A2F34" w:rsidP="00B31352">
            <w:pPr>
              <w:spacing w:before="20" w:after="20" w:line="240" w:lineRule="auto"/>
              <w:ind w:hanging="1"/>
              <w:jc w:val="center"/>
              <w:rPr>
                <w:rFonts w:ascii="Times New Roman" w:hAnsi="Times New Roman"/>
                <w:b/>
              </w:rPr>
            </w:pPr>
            <w:r w:rsidRPr="00F24A85">
              <w:rPr>
                <w:rFonts w:ascii="Times New Roman" w:hAnsi="Times New Roman"/>
                <w:b/>
                <w:bCs/>
              </w:rPr>
              <w:t>Найменування товару</w:t>
            </w:r>
            <w:r>
              <w:rPr>
                <w:rFonts w:ascii="Times New Roman" w:hAnsi="Times New Roman"/>
                <w:b/>
                <w:bCs/>
              </w:rPr>
              <w:t>, в</w:t>
            </w:r>
            <w:r w:rsidRPr="00F24A85">
              <w:rPr>
                <w:rFonts w:ascii="Times New Roman" w:hAnsi="Times New Roman"/>
                <w:b/>
              </w:rPr>
              <w:t>ид</w:t>
            </w:r>
            <w:r>
              <w:rPr>
                <w:rFonts w:ascii="Times New Roman" w:hAnsi="Times New Roman"/>
                <w:b/>
              </w:rPr>
              <w:t>/</w:t>
            </w:r>
            <w:r w:rsidRPr="00F24A85">
              <w:rPr>
                <w:rFonts w:ascii="Times New Roman" w:hAnsi="Times New Roman"/>
                <w:b/>
              </w:rPr>
              <w:t>сорт</w:t>
            </w:r>
            <w:r>
              <w:rPr>
                <w:rFonts w:ascii="Times New Roman" w:hAnsi="Times New Roman"/>
                <w:b/>
              </w:rPr>
              <w:t xml:space="preserve">/марка </w:t>
            </w:r>
          </w:p>
          <w:p w:rsidR="003A2F34" w:rsidRPr="00F24A85" w:rsidRDefault="003A2F34" w:rsidP="00B31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20" w:line="240" w:lineRule="auto"/>
              <w:jc w:val="center"/>
              <w:rPr>
                <w:rFonts w:ascii="Times New Roman" w:hAnsi="Times New Roman"/>
                <w:b/>
              </w:rPr>
            </w:pPr>
          </w:p>
        </w:tc>
        <w:tc>
          <w:tcPr>
            <w:tcW w:w="39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3A2F34" w:rsidRPr="00F24A85" w:rsidRDefault="003A2F34" w:rsidP="00B31352">
            <w:pPr>
              <w:spacing w:before="20" w:after="20" w:line="240" w:lineRule="auto"/>
              <w:ind w:hanging="1"/>
              <w:jc w:val="center"/>
              <w:rPr>
                <w:rFonts w:ascii="Times New Roman" w:hAnsi="Times New Roman"/>
                <w:b/>
              </w:rPr>
            </w:pPr>
            <w:r w:rsidRPr="00F24A85">
              <w:rPr>
                <w:rFonts w:ascii="Times New Roman" w:hAnsi="Times New Roman"/>
                <w:b/>
              </w:rPr>
              <w:t xml:space="preserve">Од. </w:t>
            </w:r>
            <w:proofErr w:type="spellStart"/>
            <w:r w:rsidRPr="00F24A85">
              <w:rPr>
                <w:rFonts w:ascii="Times New Roman" w:hAnsi="Times New Roman"/>
                <w:b/>
              </w:rPr>
              <w:t>вим</w:t>
            </w:r>
            <w:proofErr w:type="spellEnd"/>
            <w:r w:rsidRPr="00F24A85">
              <w:rPr>
                <w:rFonts w:ascii="Times New Roman" w:hAnsi="Times New Roman"/>
                <w:b/>
              </w:rPr>
              <w:t>.</w:t>
            </w:r>
          </w:p>
        </w:tc>
        <w:tc>
          <w:tcPr>
            <w:tcW w:w="441" w:type="pct"/>
            <w:gridSpan w:val="2"/>
            <w:tcBorders>
              <w:top w:val="single" w:sz="4" w:space="0" w:color="auto"/>
              <w:left w:val="single" w:sz="4" w:space="0" w:color="auto"/>
              <w:bottom w:val="single" w:sz="4" w:space="0" w:color="auto"/>
              <w:right w:val="single" w:sz="4" w:space="0" w:color="auto"/>
            </w:tcBorders>
            <w:shd w:val="pct15" w:color="auto" w:fill="auto"/>
            <w:vAlign w:val="center"/>
          </w:tcPr>
          <w:p w:rsidR="003A2F34" w:rsidRPr="00F24A85" w:rsidRDefault="003A2F34" w:rsidP="00B31352">
            <w:pPr>
              <w:spacing w:before="20" w:after="20" w:line="240" w:lineRule="auto"/>
              <w:ind w:hanging="1"/>
              <w:jc w:val="center"/>
              <w:rPr>
                <w:rFonts w:ascii="Times New Roman" w:hAnsi="Times New Roman"/>
                <w:b/>
              </w:rPr>
            </w:pPr>
            <w:proofErr w:type="spellStart"/>
            <w:r w:rsidRPr="00F24A85">
              <w:rPr>
                <w:rFonts w:ascii="Times New Roman" w:hAnsi="Times New Roman"/>
                <w:b/>
              </w:rPr>
              <w:t>Кіль</w:t>
            </w:r>
            <w:r>
              <w:rPr>
                <w:rFonts w:ascii="Times New Roman" w:hAnsi="Times New Roman"/>
                <w:b/>
              </w:rPr>
              <w:t>-</w:t>
            </w:r>
            <w:r w:rsidRPr="00F24A85">
              <w:rPr>
                <w:rFonts w:ascii="Times New Roman" w:hAnsi="Times New Roman"/>
                <w:b/>
              </w:rPr>
              <w:t>кість</w:t>
            </w:r>
            <w:proofErr w:type="spellEnd"/>
          </w:p>
        </w:tc>
        <w:tc>
          <w:tcPr>
            <w:tcW w:w="2374"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3A2F34" w:rsidRPr="00F24A85" w:rsidRDefault="003A2F34" w:rsidP="00B31352">
            <w:pPr>
              <w:spacing w:before="20" w:after="20" w:line="240" w:lineRule="auto"/>
              <w:ind w:hanging="1"/>
              <w:jc w:val="center"/>
              <w:rPr>
                <w:rFonts w:ascii="Times New Roman" w:hAnsi="Times New Roman"/>
                <w:b/>
              </w:rPr>
            </w:pPr>
            <w:r w:rsidRPr="00F24A85">
              <w:rPr>
                <w:rFonts w:ascii="Times New Roman" w:hAnsi="Times New Roman"/>
                <w:b/>
              </w:rPr>
              <w:t xml:space="preserve">Технічні характеристики предмета закупівлі </w:t>
            </w:r>
            <w:r>
              <w:rPr>
                <w:rFonts w:ascii="Times New Roman" w:hAnsi="Times New Roman"/>
                <w:b/>
              </w:rPr>
              <w:t xml:space="preserve">                             </w:t>
            </w:r>
          </w:p>
        </w:tc>
      </w:tr>
      <w:tr w:rsidR="003A2F34" w:rsidRPr="00F24A85" w:rsidTr="00D80666">
        <w:trPr>
          <w:trHeight w:val="70"/>
        </w:trPr>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rsidR="003A2F34" w:rsidRPr="00F24A85" w:rsidRDefault="003A2F34" w:rsidP="00B31352">
            <w:pPr>
              <w:spacing w:after="0" w:line="240" w:lineRule="auto"/>
              <w:jc w:val="center"/>
              <w:rPr>
                <w:rFonts w:ascii="Times New Roman" w:hAnsi="Times New Roman"/>
                <w:b/>
              </w:rPr>
            </w:pPr>
            <w:r>
              <w:rPr>
                <w:rFonts w:ascii="Times New Roman" w:hAnsi="Times New Roman"/>
                <w:b/>
              </w:rPr>
              <w:t>1</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tcPr>
          <w:p w:rsidR="003A2F34" w:rsidRPr="00F24A85" w:rsidRDefault="003A2F34" w:rsidP="00B31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2</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3A2F34" w:rsidRPr="00F24A85" w:rsidRDefault="003A2F34" w:rsidP="00B31352">
            <w:pPr>
              <w:spacing w:after="0" w:line="240" w:lineRule="auto"/>
              <w:jc w:val="center"/>
              <w:rPr>
                <w:rFonts w:ascii="Times New Roman" w:hAnsi="Times New Roman"/>
                <w:b/>
              </w:rPr>
            </w:pPr>
            <w:r>
              <w:rPr>
                <w:rFonts w:ascii="Times New Roman" w:hAnsi="Times New Roman"/>
                <w:b/>
              </w:rPr>
              <w:t>3</w:t>
            </w:r>
          </w:p>
        </w:tc>
        <w:tc>
          <w:tcPr>
            <w:tcW w:w="441" w:type="pct"/>
            <w:gridSpan w:val="2"/>
            <w:tcBorders>
              <w:top w:val="single" w:sz="4" w:space="0" w:color="auto"/>
              <w:left w:val="single" w:sz="4" w:space="0" w:color="auto"/>
              <w:bottom w:val="single" w:sz="4" w:space="0" w:color="auto"/>
              <w:right w:val="single" w:sz="4" w:space="0" w:color="auto"/>
            </w:tcBorders>
            <w:vAlign w:val="center"/>
          </w:tcPr>
          <w:p w:rsidR="003A2F34" w:rsidRPr="00F24A85" w:rsidRDefault="003A2F34" w:rsidP="00B31352">
            <w:pPr>
              <w:spacing w:after="0" w:line="240" w:lineRule="auto"/>
              <w:jc w:val="center"/>
              <w:rPr>
                <w:rFonts w:ascii="Times New Roman" w:hAnsi="Times New Roman"/>
                <w:b/>
              </w:rPr>
            </w:pPr>
            <w:r>
              <w:rPr>
                <w:rFonts w:ascii="Times New Roman" w:hAnsi="Times New Roman"/>
                <w:b/>
              </w:rPr>
              <w:t>4</w:t>
            </w:r>
          </w:p>
        </w:tc>
        <w:tc>
          <w:tcPr>
            <w:tcW w:w="2374" w:type="pct"/>
            <w:tcBorders>
              <w:top w:val="single" w:sz="4" w:space="0" w:color="auto"/>
              <w:left w:val="single" w:sz="4" w:space="0" w:color="auto"/>
              <w:bottom w:val="single" w:sz="4" w:space="0" w:color="auto"/>
              <w:right w:val="single" w:sz="4" w:space="0" w:color="auto"/>
            </w:tcBorders>
            <w:shd w:val="clear" w:color="auto" w:fill="auto"/>
            <w:vAlign w:val="center"/>
          </w:tcPr>
          <w:p w:rsidR="003A2F34" w:rsidRPr="00F24A85" w:rsidRDefault="003A2F34" w:rsidP="00B31352">
            <w:pPr>
              <w:spacing w:after="0" w:line="240" w:lineRule="auto"/>
              <w:jc w:val="center"/>
              <w:rPr>
                <w:rFonts w:ascii="Times New Roman" w:hAnsi="Times New Roman"/>
                <w:b/>
              </w:rPr>
            </w:pPr>
            <w:r>
              <w:rPr>
                <w:rFonts w:ascii="Times New Roman" w:hAnsi="Times New Roman"/>
                <w:b/>
              </w:rPr>
              <w:t>5</w:t>
            </w:r>
          </w:p>
        </w:tc>
      </w:tr>
      <w:tr w:rsidR="00D80666" w:rsidRPr="00531B11" w:rsidTr="00D80666">
        <w:trPr>
          <w:trHeight w:val="405"/>
        </w:trPr>
        <w:tc>
          <w:tcPr>
            <w:tcW w:w="262" w:type="pct"/>
            <w:tcBorders>
              <w:top w:val="single" w:sz="4" w:space="0" w:color="auto"/>
              <w:left w:val="single" w:sz="4" w:space="0" w:color="auto"/>
              <w:bottom w:val="single" w:sz="4" w:space="0" w:color="auto"/>
              <w:right w:val="single" w:sz="4" w:space="0" w:color="auto"/>
            </w:tcBorders>
          </w:tcPr>
          <w:p w:rsidR="00D80666" w:rsidRPr="00A667C6" w:rsidRDefault="00D80666" w:rsidP="00B31352">
            <w:pPr>
              <w:numPr>
                <w:ilvl w:val="0"/>
                <w:numId w:val="7"/>
              </w:numPr>
              <w:spacing w:before="60" w:after="60" w:line="240" w:lineRule="auto"/>
              <w:ind w:left="0" w:firstLine="0"/>
              <w:rPr>
                <w:rFonts w:ascii="Times New Roman" w:hAnsi="Times New Roman"/>
              </w:rPr>
            </w:pPr>
          </w:p>
        </w:tc>
        <w:tc>
          <w:tcPr>
            <w:tcW w:w="1532" w:type="pct"/>
            <w:tcBorders>
              <w:top w:val="single" w:sz="4" w:space="0" w:color="auto"/>
              <w:left w:val="single" w:sz="4" w:space="0" w:color="auto"/>
              <w:bottom w:val="single" w:sz="4" w:space="0" w:color="auto"/>
              <w:right w:val="single" w:sz="4" w:space="0" w:color="auto"/>
            </w:tcBorders>
          </w:tcPr>
          <w:p w:rsidR="00D80666" w:rsidRPr="00531B11" w:rsidRDefault="00D80666" w:rsidP="00DF4811">
            <w:pPr>
              <w:spacing w:before="60" w:after="60" w:line="240" w:lineRule="auto"/>
              <w:rPr>
                <w:rFonts w:ascii="Times New Roman" w:hAnsi="Times New Roman"/>
              </w:rPr>
            </w:pPr>
            <w:proofErr w:type="spellStart"/>
            <w:r w:rsidRPr="00DB03CD">
              <w:rPr>
                <w:rFonts w:ascii="Times New Roman" w:eastAsia="Times New Roman" w:hAnsi="Times New Roman"/>
                <w:lang w:eastAsia="uk-UA"/>
              </w:rPr>
              <w:t>АСГ</w:t>
            </w:r>
            <w:proofErr w:type="spellEnd"/>
            <w:r w:rsidRPr="00DB03CD">
              <w:rPr>
                <w:rFonts w:ascii="Times New Roman" w:eastAsia="Times New Roman" w:hAnsi="Times New Roman"/>
                <w:lang w:eastAsia="uk-UA"/>
              </w:rPr>
              <w:t xml:space="preserve"> </w:t>
            </w:r>
            <w:proofErr w:type="spellStart"/>
            <w:r w:rsidRPr="00DB03CD">
              <w:rPr>
                <w:rFonts w:ascii="Times New Roman" w:eastAsia="Times New Roman" w:hAnsi="Times New Roman"/>
                <w:lang w:eastAsia="uk-UA"/>
              </w:rPr>
              <w:t>Др.Щ.В.НП.І.БНД</w:t>
            </w:r>
            <w:proofErr w:type="spellEnd"/>
            <w:r w:rsidRPr="00DB03CD">
              <w:rPr>
                <w:rFonts w:ascii="Times New Roman" w:eastAsia="Times New Roman" w:hAnsi="Times New Roman"/>
                <w:lang w:eastAsia="uk-UA"/>
              </w:rPr>
              <w:t xml:space="preserve"> 60/90</w:t>
            </w:r>
          </w:p>
        </w:tc>
        <w:tc>
          <w:tcPr>
            <w:tcW w:w="391" w:type="pct"/>
            <w:tcBorders>
              <w:top w:val="single" w:sz="4" w:space="0" w:color="auto"/>
              <w:left w:val="single" w:sz="4" w:space="0" w:color="auto"/>
              <w:bottom w:val="single" w:sz="4" w:space="0" w:color="auto"/>
              <w:right w:val="single" w:sz="4" w:space="0" w:color="auto"/>
            </w:tcBorders>
          </w:tcPr>
          <w:p w:rsidR="00D80666" w:rsidRPr="00531B11" w:rsidRDefault="00D80666" w:rsidP="00DF4811">
            <w:pPr>
              <w:spacing w:before="60" w:after="60" w:line="240" w:lineRule="auto"/>
              <w:jc w:val="center"/>
              <w:rPr>
                <w:rFonts w:ascii="Times New Roman" w:hAnsi="Times New Roman"/>
              </w:rPr>
            </w:pPr>
            <w:r>
              <w:rPr>
                <w:rFonts w:ascii="Times New Roman" w:hAnsi="Times New Roman"/>
              </w:rPr>
              <w:t>т</w:t>
            </w:r>
          </w:p>
        </w:tc>
        <w:tc>
          <w:tcPr>
            <w:tcW w:w="441" w:type="pct"/>
            <w:gridSpan w:val="2"/>
            <w:tcBorders>
              <w:top w:val="single" w:sz="4" w:space="0" w:color="auto"/>
              <w:left w:val="single" w:sz="4" w:space="0" w:color="auto"/>
              <w:bottom w:val="single" w:sz="4" w:space="0" w:color="auto"/>
              <w:right w:val="single" w:sz="4" w:space="0" w:color="auto"/>
            </w:tcBorders>
          </w:tcPr>
          <w:p w:rsidR="00D80666" w:rsidRPr="00531B11" w:rsidRDefault="00A604C8" w:rsidP="00DF4811">
            <w:pPr>
              <w:spacing w:before="60" w:after="60" w:line="240" w:lineRule="auto"/>
              <w:jc w:val="center"/>
              <w:rPr>
                <w:rFonts w:ascii="Times New Roman" w:hAnsi="Times New Roman"/>
              </w:rPr>
            </w:pPr>
            <w:r>
              <w:rPr>
                <w:rFonts w:ascii="Times New Roman" w:hAnsi="Times New Roman"/>
              </w:rPr>
              <w:t>1</w:t>
            </w:r>
            <w:r w:rsidR="00D80666">
              <w:rPr>
                <w:rFonts w:ascii="Times New Roman" w:hAnsi="Times New Roman"/>
              </w:rPr>
              <w:t>00</w:t>
            </w:r>
          </w:p>
        </w:tc>
        <w:tc>
          <w:tcPr>
            <w:tcW w:w="2374" w:type="pct"/>
            <w:tcBorders>
              <w:top w:val="single" w:sz="4" w:space="0" w:color="auto"/>
              <w:left w:val="single" w:sz="4" w:space="0" w:color="auto"/>
              <w:bottom w:val="single" w:sz="4" w:space="0" w:color="auto"/>
              <w:right w:val="single" w:sz="4" w:space="0" w:color="auto"/>
            </w:tcBorders>
            <w:noWrap/>
          </w:tcPr>
          <w:p w:rsidR="00D80666" w:rsidRPr="00531B11" w:rsidRDefault="00D80666" w:rsidP="00B31352">
            <w:pPr>
              <w:spacing w:before="60" w:after="60" w:line="240" w:lineRule="auto"/>
              <w:rPr>
                <w:rFonts w:ascii="Times New Roman" w:hAnsi="Times New Roman"/>
              </w:rPr>
            </w:pPr>
            <w:r>
              <w:rPr>
                <w:rFonts w:ascii="Times New Roman" w:eastAsia="Times New Roman" w:hAnsi="Times New Roman"/>
                <w:lang w:eastAsia="uk-UA"/>
              </w:rPr>
              <w:t>Згідно ДСТУ Б В.2.7-119:2011</w:t>
            </w:r>
          </w:p>
        </w:tc>
      </w:tr>
      <w:tr w:rsidR="003A2F34" w:rsidRPr="009501D8" w:rsidTr="00D80666">
        <w:trPr>
          <w:trHeight w:val="405"/>
        </w:trPr>
        <w:tc>
          <w:tcPr>
            <w:tcW w:w="2188" w:type="pct"/>
            <w:gridSpan w:val="4"/>
            <w:shd w:val="clear" w:color="auto" w:fill="auto"/>
          </w:tcPr>
          <w:p w:rsidR="003A2F34" w:rsidRPr="007F21CB" w:rsidRDefault="003A2F34" w:rsidP="00B31352">
            <w:pPr>
              <w:pStyle w:val="a9"/>
              <w:tabs>
                <w:tab w:val="left" w:pos="318"/>
              </w:tabs>
              <w:spacing w:before="60" w:beforeAutospacing="0" w:after="60" w:afterAutospacing="0"/>
              <w:jc w:val="both"/>
              <w:rPr>
                <w:sz w:val="22"/>
                <w:szCs w:val="22"/>
              </w:rPr>
            </w:pPr>
            <w:r w:rsidRPr="002758D7">
              <w:rPr>
                <w:b/>
              </w:rPr>
              <w:t>Вимоги до якості:</w:t>
            </w:r>
          </w:p>
        </w:tc>
        <w:tc>
          <w:tcPr>
            <w:tcW w:w="2812" w:type="pct"/>
            <w:gridSpan w:val="2"/>
            <w:shd w:val="clear" w:color="auto" w:fill="auto"/>
          </w:tcPr>
          <w:p w:rsidR="003A2F34" w:rsidRPr="009501D8" w:rsidRDefault="00D80666" w:rsidP="003A2F34">
            <w:pPr>
              <w:pStyle w:val="a9"/>
              <w:tabs>
                <w:tab w:val="left" w:pos="318"/>
              </w:tabs>
              <w:spacing w:before="60" w:beforeAutospacing="0" w:after="60" w:afterAutospacing="0"/>
              <w:jc w:val="both"/>
              <w:rPr>
                <w:sz w:val="22"/>
                <w:szCs w:val="22"/>
              </w:rPr>
            </w:pPr>
            <w:r w:rsidRPr="00407CF6">
              <w:rPr>
                <w:sz w:val="22"/>
                <w:szCs w:val="22"/>
              </w:rPr>
              <w:t xml:space="preserve">Товар повинен відповідати вимогам державних стандартів України </w:t>
            </w:r>
            <w:r>
              <w:rPr>
                <w:sz w:val="22"/>
                <w:szCs w:val="22"/>
              </w:rPr>
              <w:t xml:space="preserve">- </w:t>
            </w:r>
            <w:r>
              <w:rPr>
                <w:lang w:eastAsia="uk-UA"/>
              </w:rPr>
              <w:t>ДСТУ Б В.2.7-119:2011 «Суміші асфальтобетонні і асфальтобетон дорожній та аеродромний»</w:t>
            </w:r>
            <w:r w:rsidR="003A2F34" w:rsidRPr="00407CF6">
              <w:rPr>
                <w:sz w:val="22"/>
                <w:szCs w:val="22"/>
              </w:rPr>
              <w:t>.</w:t>
            </w:r>
          </w:p>
        </w:tc>
      </w:tr>
      <w:tr w:rsidR="003A2F34" w:rsidRPr="002758D7" w:rsidTr="00D80666">
        <w:trPr>
          <w:trHeight w:val="405"/>
        </w:trPr>
        <w:tc>
          <w:tcPr>
            <w:tcW w:w="2188" w:type="pct"/>
            <w:gridSpan w:val="4"/>
            <w:shd w:val="clear" w:color="auto" w:fill="auto"/>
          </w:tcPr>
          <w:p w:rsidR="003A2F34" w:rsidRDefault="003A2F34" w:rsidP="00B31352">
            <w:pPr>
              <w:pStyle w:val="a9"/>
              <w:tabs>
                <w:tab w:val="left" w:pos="318"/>
              </w:tabs>
              <w:spacing w:before="60" w:beforeAutospacing="0" w:after="60" w:afterAutospacing="0"/>
              <w:jc w:val="both"/>
              <w:rPr>
                <w:bCs/>
                <w:iCs/>
                <w:sz w:val="22"/>
                <w:szCs w:val="22"/>
              </w:rPr>
            </w:pPr>
            <w:r>
              <w:rPr>
                <w:b/>
                <w:bCs/>
              </w:rPr>
              <w:t>Строк та місце поставки:</w:t>
            </w:r>
          </w:p>
        </w:tc>
        <w:tc>
          <w:tcPr>
            <w:tcW w:w="2812" w:type="pct"/>
            <w:gridSpan w:val="2"/>
            <w:shd w:val="clear" w:color="auto" w:fill="auto"/>
          </w:tcPr>
          <w:p w:rsidR="00D80666" w:rsidRDefault="00A604C8" w:rsidP="00D80666">
            <w:pPr>
              <w:pStyle w:val="a9"/>
              <w:tabs>
                <w:tab w:val="left" w:pos="318"/>
              </w:tabs>
              <w:spacing w:before="60" w:beforeAutospacing="0" w:after="60" w:afterAutospacing="0"/>
              <w:jc w:val="both"/>
              <w:rPr>
                <w:bCs/>
                <w:iCs/>
                <w:sz w:val="22"/>
                <w:szCs w:val="22"/>
              </w:rPr>
            </w:pPr>
            <w:r>
              <w:t>протягом 2026</w:t>
            </w:r>
            <w:r w:rsidR="00D80666" w:rsidRPr="008F7BB0">
              <w:t xml:space="preserve"> року від дати укладання договору</w:t>
            </w:r>
            <w:r w:rsidR="00D80666">
              <w:rPr>
                <w:bCs/>
                <w:iCs/>
                <w:sz w:val="22"/>
                <w:szCs w:val="22"/>
              </w:rPr>
              <w:t xml:space="preserve"> до 20.12.202</w:t>
            </w:r>
            <w:r>
              <w:rPr>
                <w:bCs/>
                <w:iCs/>
                <w:sz w:val="22"/>
                <w:szCs w:val="22"/>
              </w:rPr>
              <w:t>6</w:t>
            </w:r>
            <w:r w:rsidR="00D80666">
              <w:rPr>
                <w:bCs/>
                <w:iCs/>
                <w:sz w:val="22"/>
                <w:szCs w:val="22"/>
              </w:rPr>
              <w:t xml:space="preserve"> року</w:t>
            </w:r>
          </w:p>
          <w:p w:rsidR="003A2F34" w:rsidRPr="002758D7" w:rsidRDefault="00D80666" w:rsidP="00D80666">
            <w:pPr>
              <w:pStyle w:val="a9"/>
              <w:tabs>
                <w:tab w:val="left" w:pos="318"/>
              </w:tabs>
              <w:spacing w:before="60" w:beforeAutospacing="0" w:after="60" w:afterAutospacing="0"/>
              <w:jc w:val="both"/>
              <w:rPr>
                <w:bCs/>
                <w:iCs/>
                <w:sz w:val="22"/>
                <w:szCs w:val="22"/>
              </w:rPr>
            </w:pPr>
            <w:r w:rsidRPr="007F21CB">
              <w:rPr>
                <w:sz w:val="22"/>
                <w:szCs w:val="22"/>
              </w:rPr>
              <w:t>08402</w:t>
            </w:r>
            <w:r>
              <w:rPr>
                <w:sz w:val="22"/>
                <w:szCs w:val="22"/>
              </w:rPr>
              <w:t xml:space="preserve">, </w:t>
            </w:r>
            <w:r w:rsidRPr="007F21CB">
              <w:rPr>
                <w:sz w:val="22"/>
                <w:szCs w:val="22"/>
              </w:rPr>
              <w:t>Київська обл., м. Переяслав, вул. Солонці, 1</w:t>
            </w:r>
          </w:p>
        </w:tc>
      </w:tr>
      <w:tr w:rsidR="00D80666" w:rsidRPr="00F24A85" w:rsidTr="00D80666">
        <w:trPr>
          <w:trHeight w:val="42"/>
        </w:trPr>
        <w:tc>
          <w:tcPr>
            <w:tcW w:w="2188" w:type="pct"/>
            <w:gridSpan w:val="4"/>
            <w:shd w:val="clear" w:color="auto" w:fill="auto"/>
          </w:tcPr>
          <w:p w:rsidR="00D80666" w:rsidRPr="00F24A85" w:rsidRDefault="00D80666" w:rsidP="00DF4811">
            <w:pPr>
              <w:spacing w:before="60" w:after="60" w:line="240" w:lineRule="auto"/>
              <w:jc w:val="both"/>
              <w:rPr>
                <w:rFonts w:ascii="Times New Roman" w:hAnsi="Times New Roman"/>
              </w:rPr>
            </w:pPr>
            <w:r>
              <w:rPr>
                <w:rFonts w:ascii="Times New Roman" w:hAnsi="Times New Roman"/>
                <w:b/>
              </w:rPr>
              <w:t>Умови поставки</w:t>
            </w:r>
            <w:r w:rsidRPr="00F24A85">
              <w:rPr>
                <w:rFonts w:ascii="Times New Roman" w:hAnsi="Times New Roman"/>
              </w:rPr>
              <w:t>:</w:t>
            </w:r>
          </w:p>
        </w:tc>
        <w:tc>
          <w:tcPr>
            <w:tcW w:w="2812" w:type="pct"/>
            <w:gridSpan w:val="2"/>
            <w:shd w:val="clear" w:color="auto" w:fill="auto"/>
          </w:tcPr>
          <w:p w:rsidR="00D80666" w:rsidRPr="00680FF6" w:rsidRDefault="00D80666" w:rsidP="00DF4811">
            <w:pPr>
              <w:pStyle w:val="a9"/>
              <w:tabs>
                <w:tab w:val="left" w:pos="318"/>
              </w:tabs>
              <w:spacing w:before="0" w:beforeAutospacing="0" w:after="0" w:afterAutospacing="0"/>
              <w:jc w:val="both"/>
              <w:rPr>
                <w:bCs/>
                <w:sz w:val="22"/>
                <w:szCs w:val="22"/>
              </w:rPr>
            </w:pPr>
            <w:r>
              <w:rPr>
                <w:bCs/>
                <w:sz w:val="22"/>
                <w:szCs w:val="22"/>
              </w:rPr>
              <w:t>О</w:t>
            </w:r>
            <w:r w:rsidRPr="00680FF6">
              <w:rPr>
                <w:bCs/>
                <w:sz w:val="22"/>
                <w:szCs w:val="22"/>
              </w:rPr>
              <w:t xml:space="preserve">кремими партіями, </w:t>
            </w:r>
            <w:r>
              <w:rPr>
                <w:bCs/>
                <w:sz w:val="22"/>
                <w:szCs w:val="22"/>
              </w:rPr>
              <w:t>до 09:00 год</w:t>
            </w:r>
            <w:r w:rsidRPr="00680FF6">
              <w:rPr>
                <w:bCs/>
                <w:sz w:val="22"/>
                <w:szCs w:val="22"/>
              </w:rPr>
              <w:t>.</w:t>
            </w:r>
            <w:r>
              <w:rPr>
                <w:bCs/>
                <w:sz w:val="22"/>
                <w:szCs w:val="22"/>
              </w:rPr>
              <w:t xml:space="preserve"> наступного</w:t>
            </w:r>
            <w:r w:rsidRPr="00680FF6">
              <w:rPr>
                <w:bCs/>
                <w:sz w:val="22"/>
                <w:szCs w:val="22"/>
              </w:rPr>
              <w:t xml:space="preserve"> дня від </w:t>
            </w:r>
            <w:r>
              <w:rPr>
                <w:bCs/>
                <w:sz w:val="22"/>
                <w:szCs w:val="22"/>
              </w:rPr>
              <w:t xml:space="preserve">дня </w:t>
            </w:r>
            <w:r w:rsidRPr="00680FF6">
              <w:rPr>
                <w:bCs/>
                <w:sz w:val="22"/>
                <w:szCs w:val="22"/>
              </w:rPr>
              <w:t>одержання  Постачальником  заявки від Замовника будь-яким способом (листом, факсом, телефоном</w:t>
            </w:r>
            <w:r>
              <w:rPr>
                <w:bCs/>
                <w:sz w:val="22"/>
                <w:szCs w:val="22"/>
              </w:rPr>
              <w:t>, засобами електронного зв’язку</w:t>
            </w:r>
            <w:r w:rsidRPr="00680FF6">
              <w:rPr>
                <w:bCs/>
                <w:sz w:val="22"/>
                <w:szCs w:val="22"/>
              </w:rPr>
              <w:t>), в т.ч. у вихідні та святкові дні</w:t>
            </w:r>
            <w:r>
              <w:rPr>
                <w:bCs/>
                <w:sz w:val="22"/>
                <w:szCs w:val="22"/>
              </w:rPr>
              <w:t>.</w:t>
            </w:r>
          </w:p>
          <w:p w:rsidR="00D80666" w:rsidRPr="00680FF6" w:rsidRDefault="00D80666" w:rsidP="00DF4811">
            <w:pPr>
              <w:pStyle w:val="a9"/>
              <w:tabs>
                <w:tab w:val="left" w:pos="318"/>
              </w:tabs>
              <w:spacing w:before="0" w:beforeAutospacing="0" w:after="0" w:afterAutospacing="0"/>
              <w:jc w:val="both"/>
              <w:rPr>
                <w:bCs/>
                <w:sz w:val="22"/>
                <w:szCs w:val="22"/>
              </w:rPr>
            </w:pPr>
            <w:r>
              <w:rPr>
                <w:bCs/>
                <w:sz w:val="22"/>
                <w:szCs w:val="22"/>
              </w:rPr>
              <w:t>П</w:t>
            </w:r>
            <w:r w:rsidRPr="00680FF6">
              <w:rPr>
                <w:bCs/>
                <w:sz w:val="22"/>
                <w:szCs w:val="22"/>
              </w:rPr>
              <w:t xml:space="preserve">оставка </w:t>
            </w:r>
            <w:r>
              <w:rPr>
                <w:bCs/>
                <w:sz w:val="22"/>
                <w:szCs w:val="22"/>
              </w:rPr>
              <w:t xml:space="preserve">здійснюється транспортом Постачальника </w:t>
            </w:r>
            <w:r w:rsidRPr="00680FF6">
              <w:rPr>
                <w:bCs/>
                <w:sz w:val="22"/>
                <w:szCs w:val="22"/>
              </w:rPr>
              <w:t>невелики</w:t>
            </w:r>
            <w:r>
              <w:rPr>
                <w:bCs/>
                <w:sz w:val="22"/>
                <w:szCs w:val="22"/>
              </w:rPr>
              <w:t>ми</w:t>
            </w:r>
            <w:r w:rsidRPr="00680FF6">
              <w:rPr>
                <w:bCs/>
                <w:sz w:val="22"/>
                <w:szCs w:val="22"/>
              </w:rPr>
              <w:t xml:space="preserve"> парті</w:t>
            </w:r>
            <w:r>
              <w:rPr>
                <w:bCs/>
                <w:sz w:val="22"/>
                <w:szCs w:val="22"/>
              </w:rPr>
              <w:t>ями</w:t>
            </w:r>
            <w:r w:rsidRPr="00680FF6">
              <w:rPr>
                <w:bCs/>
                <w:sz w:val="22"/>
                <w:szCs w:val="22"/>
              </w:rPr>
              <w:t xml:space="preserve"> сумішей асфальтобетонних в кількості </w:t>
            </w:r>
            <w:r>
              <w:rPr>
                <w:bCs/>
                <w:sz w:val="22"/>
                <w:szCs w:val="22"/>
              </w:rPr>
              <w:t>10</w:t>
            </w:r>
            <w:r w:rsidRPr="00680FF6">
              <w:rPr>
                <w:bCs/>
                <w:sz w:val="22"/>
                <w:szCs w:val="22"/>
              </w:rPr>
              <w:t xml:space="preserve"> тон</w:t>
            </w:r>
            <w:r>
              <w:rPr>
                <w:bCs/>
                <w:sz w:val="22"/>
                <w:szCs w:val="22"/>
              </w:rPr>
              <w:t>н</w:t>
            </w:r>
            <w:r w:rsidRPr="00680FF6">
              <w:rPr>
                <w:bCs/>
                <w:sz w:val="22"/>
                <w:szCs w:val="22"/>
              </w:rPr>
              <w:t xml:space="preserve"> на день. </w:t>
            </w:r>
          </w:p>
          <w:p w:rsidR="00D80666" w:rsidRDefault="00D80666" w:rsidP="00DF4811">
            <w:pPr>
              <w:pStyle w:val="a9"/>
              <w:tabs>
                <w:tab w:val="left" w:pos="318"/>
              </w:tabs>
              <w:spacing w:before="0" w:beforeAutospacing="0" w:after="0" w:afterAutospacing="0"/>
              <w:jc w:val="both"/>
              <w:rPr>
                <w:bCs/>
                <w:sz w:val="22"/>
                <w:szCs w:val="22"/>
              </w:rPr>
            </w:pPr>
            <w:r w:rsidRPr="00680FF6">
              <w:rPr>
                <w:bCs/>
                <w:sz w:val="22"/>
                <w:szCs w:val="22"/>
              </w:rPr>
              <w:t>Поставка кожної партії Товару супроводжується паспортом якості або сертифікатом відповідності.</w:t>
            </w:r>
          </w:p>
          <w:p w:rsidR="00D80666" w:rsidRDefault="00D80666" w:rsidP="00DF4811">
            <w:pPr>
              <w:pStyle w:val="a9"/>
              <w:tabs>
                <w:tab w:val="left" w:pos="318"/>
              </w:tabs>
              <w:spacing w:before="0" w:beforeAutospacing="0" w:after="0" w:afterAutospacing="0"/>
              <w:jc w:val="both"/>
              <w:rPr>
                <w:bCs/>
                <w:sz w:val="22"/>
                <w:szCs w:val="22"/>
              </w:rPr>
            </w:pPr>
            <w:r>
              <w:rPr>
                <w:bCs/>
                <w:sz w:val="22"/>
                <w:szCs w:val="22"/>
              </w:rPr>
              <w:t xml:space="preserve">У місці поставки проводиться перевантаження товару, а Замовник проводить контрольні заміри температури </w:t>
            </w:r>
            <w:r w:rsidRPr="00680FF6">
              <w:rPr>
                <w:bCs/>
                <w:sz w:val="22"/>
                <w:szCs w:val="22"/>
              </w:rPr>
              <w:t>сумішей асфальтобетонних</w:t>
            </w:r>
            <w:r>
              <w:rPr>
                <w:bCs/>
                <w:sz w:val="22"/>
                <w:szCs w:val="22"/>
              </w:rPr>
              <w:t xml:space="preserve">, які мають відповідати температурним значенням Таблиці 12 </w:t>
            </w:r>
            <w:r>
              <w:rPr>
                <w:lang w:eastAsia="uk-UA"/>
              </w:rPr>
              <w:t xml:space="preserve">ДСТУ Б В.2.7-119:2011 для </w:t>
            </w:r>
            <w:r>
              <w:rPr>
                <w:bCs/>
                <w:sz w:val="22"/>
                <w:szCs w:val="22"/>
              </w:rPr>
              <w:t>асфальтобетонної суміші на початку ущільнення. У разі невідповідності температурних значень, Замовник не приймає поставлений товар, а Постачальник невідкладно проводить його заміну за власний рахунок та відшкодовує Замовнику збитку за несвоєчасно поставлений товар.</w:t>
            </w:r>
          </w:p>
          <w:p w:rsidR="00D80666" w:rsidRDefault="00D80666" w:rsidP="00DF4811">
            <w:pPr>
              <w:pStyle w:val="a9"/>
              <w:tabs>
                <w:tab w:val="left" w:pos="318"/>
              </w:tabs>
              <w:spacing w:before="0" w:beforeAutospacing="0" w:after="0" w:afterAutospacing="0"/>
              <w:jc w:val="both"/>
              <w:rPr>
                <w:bCs/>
                <w:sz w:val="22"/>
                <w:szCs w:val="22"/>
              </w:rPr>
            </w:pPr>
            <w:r w:rsidRPr="00A64847">
              <w:rPr>
                <w:bCs/>
                <w:sz w:val="22"/>
                <w:szCs w:val="22"/>
              </w:rPr>
              <w:t>Товар повинен відповідати вимогам щодо безпеки та охорони довкілля</w:t>
            </w:r>
            <w:r>
              <w:rPr>
                <w:bCs/>
                <w:sz w:val="22"/>
                <w:szCs w:val="22"/>
              </w:rPr>
              <w:t>.</w:t>
            </w:r>
          </w:p>
          <w:p w:rsidR="00D80666" w:rsidRPr="00F24A85" w:rsidRDefault="00D80666" w:rsidP="00DF4811">
            <w:pPr>
              <w:pStyle w:val="a9"/>
              <w:tabs>
                <w:tab w:val="left" w:pos="318"/>
              </w:tabs>
              <w:spacing w:before="0" w:beforeAutospacing="0" w:after="0" w:afterAutospacing="0"/>
              <w:jc w:val="both"/>
              <w:rPr>
                <w:bCs/>
                <w:sz w:val="22"/>
                <w:szCs w:val="22"/>
              </w:rPr>
            </w:pPr>
            <w:r>
              <w:rPr>
                <w:bCs/>
                <w:sz w:val="22"/>
                <w:szCs w:val="22"/>
              </w:rPr>
              <w:t>В</w:t>
            </w:r>
            <w:r w:rsidRPr="00B53CC7">
              <w:rPr>
                <w:bCs/>
                <w:sz w:val="22"/>
                <w:szCs w:val="22"/>
              </w:rPr>
              <w:t xml:space="preserve">ідстань транспортування асфальтобетонних сумішей від моменту їх випуску до моменту </w:t>
            </w:r>
            <w:r>
              <w:rPr>
                <w:bCs/>
                <w:sz w:val="22"/>
                <w:szCs w:val="22"/>
              </w:rPr>
              <w:t>передачі</w:t>
            </w:r>
            <w:r w:rsidRPr="00B53CC7">
              <w:rPr>
                <w:bCs/>
                <w:sz w:val="22"/>
                <w:szCs w:val="22"/>
              </w:rPr>
              <w:t xml:space="preserve"> не буде перевищувати значень, що вказані в таблиці 20.2 ДБН В.2.3-4 (зі зміною 1), при цьому час транспортування асфальтобетонних сумішей не перевищуватиме трьох годин</w:t>
            </w:r>
            <w:r>
              <w:rPr>
                <w:bCs/>
                <w:sz w:val="22"/>
                <w:szCs w:val="22"/>
              </w:rPr>
              <w:t>.</w:t>
            </w:r>
          </w:p>
        </w:tc>
      </w:tr>
    </w:tbl>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lastRenderedPageBreak/>
        <w:t>Обґ</w:t>
      </w:r>
      <w:r w:rsidR="00173D5A" w:rsidRPr="00F270EE">
        <w:rPr>
          <w:rFonts w:ascii="Times New Roman" w:hAnsi="Times New Roman"/>
          <w:b/>
          <w:sz w:val="24"/>
          <w:szCs w:val="24"/>
          <w:lang w:eastAsia="uk-UA"/>
        </w:rPr>
        <w:t>рунтування очікуваної вартості закупівлі.</w:t>
      </w:r>
    </w:p>
    <w:p w:rsidR="0083241E" w:rsidRPr="0083241E" w:rsidRDefault="00D80666" w:rsidP="0083241E">
      <w:pPr>
        <w:spacing w:after="0" w:line="240" w:lineRule="auto"/>
        <w:ind w:firstLine="709"/>
        <w:jc w:val="both"/>
        <w:rPr>
          <w:rFonts w:ascii="Times New Roman" w:hAnsi="Times New Roman"/>
          <w:sz w:val="24"/>
          <w:szCs w:val="24"/>
          <w:lang w:eastAsia="uk-UA"/>
        </w:rPr>
      </w:pPr>
      <w:r w:rsidRPr="00F77ECC">
        <w:rPr>
          <w:rStyle w:val="apple-tab-span"/>
          <w:rFonts w:ascii="Times New Roman" w:hAnsi="Times New Roman" w:cs="Times New Roman"/>
          <w:color w:val="000000"/>
          <w:sz w:val="24"/>
          <w:szCs w:val="24"/>
          <w:shd w:val="clear" w:color="auto" w:fill="FFFFFF"/>
        </w:rPr>
        <w:t xml:space="preserve">Відповідно до </w:t>
      </w:r>
      <w:r w:rsidR="00A604C8" w:rsidRPr="00364042">
        <w:rPr>
          <w:rFonts w:ascii="Times New Roman" w:eastAsia="Times New Roman" w:hAnsi="Times New Roman" w:cs="Times New Roman"/>
          <w:color w:val="000000"/>
          <w:sz w:val="24"/>
          <w:szCs w:val="24"/>
          <w:lang w:eastAsia="ru-RU"/>
        </w:rPr>
        <w:t xml:space="preserve">рішення </w:t>
      </w:r>
      <w:r w:rsidR="00A604C8" w:rsidRPr="00FE2D59">
        <w:rPr>
          <w:rFonts w:ascii="Times New Roman" w:eastAsia="Times New Roman" w:hAnsi="Times New Roman" w:cs="Times New Roman"/>
          <w:color w:val="000000"/>
          <w:sz w:val="24"/>
          <w:szCs w:val="24"/>
          <w:lang w:eastAsia="ru-RU"/>
        </w:rPr>
        <w:t>Переяславської міської ради від 18.12.2025 № 01-114-VIII «Про бюджет Переяславської міської територіальної громади на 2026 рік» (розрахунок поточних витрат по КПКВК МБ 151</w:t>
      </w:r>
      <w:r w:rsidR="00A604C8">
        <w:rPr>
          <w:rFonts w:ascii="Times New Roman" w:eastAsia="Times New Roman" w:hAnsi="Times New Roman" w:cs="Times New Roman"/>
          <w:color w:val="000000"/>
          <w:sz w:val="24"/>
          <w:szCs w:val="24"/>
          <w:lang w:eastAsia="ru-RU"/>
        </w:rPr>
        <w:t>6030</w:t>
      </w:r>
      <w:r w:rsidR="00A604C8" w:rsidRPr="00FE2D59">
        <w:rPr>
          <w:rFonts w:ascii="Times New Roman" w:eastAsia="Times New Roman" w:hAnsi="Times New Roman" w:cs="Times New Roman"/>
          <w:color w:val="000000"/>
          <w:sz w:val="24"/>
          <w:szCs w:val="24"/>
          <w:lang w:eastAsia="ru-RU"/>
        </w:rPr>
        <w:t xml:space="preserve"> КЕКВ 2610 на 2026 рік)</w:t>
      </w:r>
      <w:r w:rsidR="00A604C8">
        <w:rPr>
          <w:rFonts w:ascii="Times New Roman" w:eastAsia="Times New Roman" w:hAnsi="Times New Roman" w:cs="Times New Roman"/>
          <w:color w:val="000000"/>
          <w:sz w:val="24"/>
          <w:szCs w:val="24"/>
          <w:lang w:eastAsia="ru-RU"/>
        </w:rPr>
        <w:t xml:space="preserve">, з урахуванням </w:t>
      </w:r>
      <w:r w:rsidR="00A604C8" w:rsidRPr="00FE2D59">
        <w:rPr>
          <w:rFonts w:ascii="Times New Roman" w:eastAsia="Times New Roman" w:hAnsi="Times New Roman" w:cs="Times New Roman"/>
          <w:color w:val="000000"/>
          <w:sz w:val="24"/>
          <w:szCs w:val="24"/>
          <w:lang w:eastAsia="ru-RU"/>
        </w:rPr>
        <w:t xml:space="preserve">розпорядження міського голови від </w:t>
      </w:r>
      <w:r w:rsidR="00A604C8">
        <w:rPr>
          <w:rFonts w:ascii="Times New Roman" w:eastAsia="Times New Roman" w:hAnsi="Times New Roman" w:cs="Times New Roman"/>
          <w:color w:val="000000"/>
          <w:sz w:val="24"/>
          <w:szCs w:val="24"/>
          <w:lang w:eastAsia="ru-RU"/>
        </w:rPr>
        <w:t>18</w:t>
      </w:r>
      <w:r w:rsidR="00A604C8" w:rsidRPr="00E646FB">
        <w:rPr>
          <w:rFonts w:ascii="Times New Roman" w:eastAsia="Times New Roman" w:hAnsi="Times New Roman" w:cs="Times New Roman"/>
          <w:color w:val="000000"/>
          <w:sz w:val="24"/>
          <w:szCs w:val="24"/>
          <w:lang w:eastAsia="ru-RU"/>
        </w:rPr>
        <w:t>.03.2026 № 6</w:t>
      </w:r>
      <w:r w:rsidR="00A604C8">
        <w:rPr>
          <w:rFonts w:ascii="Times New Roman" w:eastAsia="Times New Roman" w:hAnsi="Times New Roman" w:cs="Times New Roman"/>
          <w:color w:val="000000"/>
          <w:sz w:val="24"/>
          <w:szCs w:val="24"/>
          <w:lang w:eastAsia="ru-RU"/>
        </w:rPr>
        <w:t>8</w:t>
      </w:r>
      <w:r w:rsidR="00A604C8" w:rsidRPr="00E646FB">
        <w:rPr>
          <w:rFonts w:ascii="Times New Roman" w:eastAsia="Times New Roman" w:hAnsi="Times New Roman" w:cs="Times New Roman"/>
          <w:color w:val="000000"/>
          <w:sz w:val="24"/>
          <w:szCs w:val="24"/>
          <w:lang w:eastAsia="ru-RU"/>
        </w:rPr>
        <w:t>/07-04/11-26</w:t>
      </w:r>
      <w:r w:rsidR="00A604C8" w:rsidRPr="00FE2D59">
        <w:rPr>
          <w:rFonts w:ascii="Times New Roman" w:eastAsia="Times New Roman" w:hAnsi="Times New Roman" w:cs="Times New Roman"/>
          <w:color w:val="000000"/>
          <w:sz w:val="24"/>
          <w:szCs w:val="24"/>
          <w:lang w:eastAsia="ru-RU"/>
        </w:rPr>
        <w:t xml:space="preserve"> «Про внесення змін до розпорядження міського голови від 09.03.2026 № 65/07-04/11-26 «Про затвердження переліку робіт та об’єктів по експлуатаційному утриманню вулично-шляхової мережі Переяславської міської територіальної громади на 2026 рік</w:t>
      </w:r>
      <w:r w:rsidR="00A604C8">
        <w:rPr>
          <w:rFonts w:ascii="Times New Roman" w:eastAsia="Times New Roman" w:hAnsi="Times New Roman" w:cs="Times New Roman"/>
          <w:color w:val="000000"/>
          <w:sz w:val="24"/>
          <w:szCs w:val="24"/>
          <w:lang w:eastAsia="ru-RU"/>
        </w:rPr>
        <w:t>»</w:t>
      </w:r>
      <w:r w:rsidR="00D366B7">
        <w:rPr>
          <w:rFonts w:ascii="Times New Roman" w:eastAsia="Times New Roman" w:hAnsi="Times New Roman" w:cs="Times New Roman"/>
          <w:color w:val="000000"/>
          <w:sz w:val="24"/>
          <w:szCs w:val="24"/>
          <w:lang w:eastAsia="ru-RU"/>
        </w:rPr>
        <w:t xml:space="preserve">, </w:t>
      </w:r>
      <w:r w:rsidR="0083241E" w:rsidRPr="0083241E">
        <w:rPr>
          <w:rFonts w:ascii="Times New Roman" w:hAnsi="Times New Roman"/>
          <w:sz w:val="24"/>
          <w:szCs w:val="24"/>
          <w:lang w:eastAsia="uk-UA"/>
        </w:rPr>
        <w:t xml:space="preserve">загальна сума </w:t>
      </w:r>
      <w:r w:rsidR="00D366B7">
        <w:rPr>
          <w:rFonts w:ascii="Times New Roman" w:hAnsi="Times New Roman"/>
          <w:sz w:val="24"/>
          <w:szCs w:val="24"/>
          <w:lang w:eastAsia="uk-UA"/>
        </w:rPr>
        <w:t xml:space="preserve">бюджетних призначень на придбання </w:t>
      </w:r>
      <w:r>
        <w:rPr>
          <w:rFonts w:ascii="Times New Roman" w:hAnsi="Times New Roman"/>
          <w:sz w:val="24"/>
          <w:szCs w:val="24"/>
          <w:lang w:eastAsia="uk-UA"/>
        </w:rPr>
        <w:t>с</w:t>
      </w:r>
      <w:r w:rsidRPr="00C27AE9">
        <w:rPr>
          <w:rFonts w:ascii="Times New Roman" w:hAnsi="Times New Roman" w:cs="Times New Roman"/>
          <w:sz w:val="24"/>
          <w:szCs w:val="24"/>
        </w:rPr>
        <w:t xml:space="preserve">уміші </w:t>
      </w:r>
      <w:r>
        <w:rPr>
          <w:rFonts w:ascii="Times New Roman" w:hAnsi="Times New Roman" w:cs="Times New Roman"/>
          <w:sz w:val="24"/>
          <w:szCs w:val="24"/>
        </w:rPr>
        <w:t>асфальтобетонної гарячої</w:t>
      </w:r>
      <w:r w:rsidRPr="0083241E">
        <w:rPr>
          <w:rFonts w:ascii="Times New Roman" w:hAnsi="Times New Roman"/>
          <w:sz w:val="24"/>
          <w:szCs w:val="24"/>
          <w:lang w:eastAsia="uk-UA"/>
        </w:rPr>
        <w:t xml:space="preserve"> </w:t>
      </w:r>
      <w:r w:rsidR="0083241E" w:rsidRPr="0083241E">
        <w:rPr>
          <w:rFonts w:ascii="Times New Roman" w:hAnsi="Times New Roman"/>
          <w:sz w:val="24"/>
          <w:szCs w:val="24"/>
          <w:lang w:eastAsia="uk-UA"/>
        </w:rPr>
        <w:t>у 202</w:t>
      </w:r>
      <w:r w:rsidR="00A604C8">
        <w:rPr>
          <w:rFonts w:ascii="Times New Roman" w:hAnsi="Times New Roman"/>
          <w:sz w:val="24"/>
          <w:szCs w:val="24"/>
          <w:lang w:eastAsia="uk-UA"/>
        </w:rPr>
        <w:t>6</w:t>
      </w:r>
      <w:r w:rsidR="0083241E" w:rsidRPr="0083241E">
        <w:rPr>
          <w:rFonts w:ascii="Times New Roman" w:hAnsi="Times New Roman"/>
          <w:sz w:val="24"/>
          <w:szCs w:val="24"/>
          <w:lang w:eastAsia="uk-UA"/>
        </w:rPr>
        <w:t xml:space="preserve"> році </w:t>
      </w:r>
      <w:r w:rsidR="00D366B7">
        <w:rPr>
          <w:rFonts w:ascii="Times New Roman" w:hAnsi="Times New Roman"/>
          <w:sz w:val="24"/>
          <w:szCs w:val="24"/>
          <w:lang w:eastAsia="uk-UA"/>
        </w:rPr>
        <w:t xml:space="preserve">складає </w:t>
      </w:r>
      <w:r w:rsidR="00A604C8">
        <w:rPr>
          <w:rFonts w:ascii="Times New Roman" w:hAnsi="Times New Roman"/>
          <w:sz w:val="24"/>
          <w:szCs w:val="24"/>
          <w:lang w:eastAsia="uk-UA"/>
        </w:rPr>
        <w:t>600000</w:t>
      </w:r>
      <w:r>
        <w:rPr>
          <w:rFonts w:ascii="Times New Roman" w:hAnsi="Times New Roman"/>
          <w:sz w:val="24"/>
          <w:szCs w:val="24"/>
          <w:lang w:eastAsia="uk-UA"/>
        </w:rPr>
        <w:t>,00</w:t>
      </w:r>
      <w:r w:rsidR="00720475">
        <w:rPr>
          <w:rFonts w:ascii="Times New Roman" w:hAnsi="Times New Roman"/>
          <w:sz w:val="24"/>
          <w:szCs w:val="24"/>
          <w:lang w:eastAsia="uk-UA"/>
        </w:rPr>
        <w:t xml:space="preserve"> грн.</w:t>
      </w:r>
      <w:r w:rsidR="0083241E" w:rsidRPr="0083241E">
        <w:rPr>
          <w:rFonts w:ascii="Times New Roman" w:hAnsi="Times New Roman"/>
          <w:sz w:val="24"/>
          <w:szCs w:val="24"/>
          <w:lang w:eastAsia="uk-UA"/>
        </w:rPr>
        <w:t xml:space="preserve"> </w:t>
      </w:r>
    </w:p>
    <w:p w:rsidR="0083241E" w:rsidRDefault="0083241E" w:rsidP="003A2F34">
      <w:pPr>
        <w:spacing w:after="0" w:line="240" w:lineRule="auto"/>
        <w:ind w:firstLine="709"/>
        <w:jc w:val="both"/>
        <w:rPr>
          <w:rFonts w:ascii="Times New Roman" w:hAnsi="Times New Roman"/>
          <w:sz w:val="24"/>
          <w:szCs w:val="24"/>
          <w:lang w:eastAsia="uk-UA"/>
        </w:rPr>
      </w:pPr>
      <w:r w:rsidRPr="0083241E">
        <w:rPr>
          <w:rFonts w:ascii="Times New Roman" w:hAnsi="Times New Roman"/>
          <w:sz w:val="24"/>
          <w:szCs w:val="24"/>
          <w:lang w:eastAsia="uk-UA"/>
        </w:rPr>
        <w:t xml:space="preserve">Визначення очікуваної вартості предмета закупівлі проведено у відповідності до  порядку пункту 1 Розділу ІІІ Примірної методики визначення очікуваної вартості предмета закупівлі, яка затверджена наказом Міністерством розвитку економіки, торгівлі та сільського господарства України від 18.02.2020 №275. Керуючись вищевказаною Методикою, для визначення очікуваної вартості предмета закупівлі було використано один із методів розрахунку, а саме: проведення моніторингу цін, шляхом здійснення пошуку, збору та аналізу загальнодоступної інформації про ціну товару (тобто інформація про ціни, що містяться в мережі </w:t>
      </w:r>
      <w:proofErr w:type="spellStart"/>
      <w:r w:rsidRPr="0083241E">
        <w:rPr>
          <w:rFonts w:ascii="Times New Roman" w:hAnsi="Times New Roman"/>
          <w:sz w:val="24"/>
          <w:szCs w:val="24"/>
          <w:lang w:eastAsia="uk-UA"/>
        </w:rPr>
        <w:t>інтернет</w:t>
      </w:r>
      <w:proofErr w:type="spellEnd"/>
      <w:r w:rsidRPr="0083241E">
        <w:rPr>
          <w:rFonts w:ascii="Times New Roman" w:hAnsi="Times New Roman"/>
          <w:sz w:val="24"/>
          <w:szCs w:val="24"/>
          <w:lang w:eastAsia="uk-UA"/>
        </w:rPr>
        <w:t xml:space="preserve"> у відкритому доступі, спеціалізованих торгівельних майданчиках, в електронних каталогах, в електронній систе</w:t>
      </w:r>
      <w:r w:rsidR="0097653F">
        <w:rPr>
          <w:rFonts w:ascii="Times New Roman" w:hAnsi="Times New Roman"/>
          <w:sz w:val="24"/>
          <w:szCs w:val="24"/>
          <w:lang w:eastAsia="uk-UA"/>
        </w:rPr>
        <w:t xml:space="preserve">мі закупівель «Прозоро», тощо), </w:t>
      </w:r>
      <w:r w:rsidR="0097653F" w:rsidRPr="0083241E">
        <w:rPr>
          <w:rFonts w:ascii="Times New Roman" w:hAnsi="Times New Roman"/>
          <w:sz w:val="24"/>
          <w:szCs w:val="24"/>
          <w:lang w:eastAsia="uk-UA"/>
        </w:rPr>
        <w:t xml:space="preserve">інформації з прас-листів </w:t>
      </w:r>
      <w:r w:rsidR="0097653F">
        <w:rPr>
          <w:rFonts w:ascii="Times New Roman" w:hAnsi="Times New Roman"/>
          <w:sz w:val="24"/>
          <w:szCs w:val="24"/>
          <w:lang w:eastAsia="uk-UA"/>
        </w:rPr>
        <w:t>виробників.</w:t>
      </w:r>
    </w:p>
    <w:p w:rsidR="0083241E" w:rsidRDefault="0083241E" w:rsidP="00B659C4">
      <w:pPr>
        <w:spacing w:after="0" w:line="240" w:lineRule="auto"/>
        <w:ind w:firstLine="709"/>
        <w:jc w:val="both"/>
        <w:rPr>
          <w:rFonts w:ascii="Times New Roman" w:hAnsi="Times New Roman"/>
          <w:sz w:val="24"/>
          <w:szCs w:val="24"/>
          <w:lang w:eastAsia="uk-UA"/>
        </w:rPr>
      </w:pPr>
    </w:p>
    <w:p w:rsidR="007E2211" w:rsidRPr="00F270EE" w:rsidRDefault="007E2211" w:rsidP="007E2211">
      <w:pPr>
        <w:pStyle w:val="a4"/>
        <w:ind w:firstLine="709"/>
        <w:jc w:val="both"/>
        <w:rPr>
          <w:rFonts w:ascii="Times New Roman" w:hAnsi="Times New Roman"/>
          <w:szCs w:val="24"/>
          <w:lang w:val="uk-UA"/>
        </w:rPr>
      </w:pPr>
    </w:p>
    <w:p w:rsidR="00B870D1" w:rsidRPr="00F270EE" w:rsidRDefault="00B870D1" w:rsidP="00AA6CC7">
      <w:pPr>
        <w:spacing w:after="0" w:line="240" w:lineRule="auto"/>
        <w:ind w:firstLine="709"/>
        <w:jc w:val="both"/>
        <w:rPr>
          <w:sz w:val="24"/>
          <w:szCs w:val="24"/>
        </w:rPr>
      </w:pPr>
    </w:p>
    <w:sectPr w:rsidR="00B870D1" w:rsidRPr="00F270EE"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Identity-H">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73D5A"/>
    <w:rsid w:val="0018096F"/>
    <w:rsid w:val="001B435A"/>
    <w:rsid w:val="001E1AFD"/>
    <w:rsid w:val="002359D9"/>
    <w:rsid w:val="002556B2"/>
    <w:rsid w:val="00290D39"/>
    <w:rsid w:val="002951FE"/>
    <w:rsid w:val="002D70E2"/>
    <w:rsid w:val="002E33B3"/>
    <w:rsid w:val="00303F6D"/>
    <w:rsid w:val="00366157"/>
    <w:rsid w:val="00383DB8"/>
    <w:rsid w:val="003A2F34"/>
    <w:rsid w:val="0040386C"/>
    <w:rsid w:val="00411321"/>
    <w:rsid w:val="004478B5"/>
    <w:rsid w:val="004661D0"/>
    <w:rsid w:val="00484CEC"/>
    <w:rsid w:val="004B03B3"/>
    <w:rsid w:val="004B2FE2"/>
    <w:rsid w:val="004B352E"/>
    <w:rsid w:val="004E0006"/>
    <w:rsid w:val="004E4F48"/>
    <w:rsid w:val="00563D25"/>
    <w:rsid w:val="0057352C"/>
    <w:rsid w:val="005B29DC"/>
    <w:rsid w:val="005D0E49"/>
    <w:rsid w:val="005D2F83"/>
    <w:rsid w:val="005F2A48"/>
    <w:rsid w:val="005F7F45"/>
    <w:rsid w:val="006374BB"/>
    <w:rsid w:val="00676D5D"/>
    <w:rsid w:val="00681284"/>
    <w:rsid w:val="0069000A"/>
    <w:rsid w:val="006B1333"/>
    <w:rsid w:val="006D56DF"/>
    <w:rsid w:val="00720475"/>
    <w:rsid w:val="007303BC"/>
    <w:rsid w:val="00744571"/>
    <w:rsid w:val="00761EAB"/>
    <w:rsid w:val="007745A9"/>
    <w:rsid w:val="00776AB6"/>
    <w:rsid w:val="007874A6"/>
    <w:rsid w:val="007B4685"/>
    <w:rsid w:val="007C3B2E"/>
    <w:rsid w:val="007C7EB2"/>
    <w:rsid w:val="007E2211"/>
    <w:rsid w:val="007F709B"/>
    <w:rsid w:val="008047C3"/>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7653F"/>
    <w:rsid w:val="009C0D2D"/>
    <w:rsid w:val="009F466A"/>
    <w:rsid w:val="00A25F6D"/>
    <w:rsid w:val="00A369A6"/>
    <w:rsid w:val="00A54C4B"/>
    <w:rsid w:val="00A604C8"/>
    <w:rsid w:val="00AA6CC7"/>
    <w:rsid w:val="00AD2F76"/>
    <w:rsid w:val="00B11AAF"/>
    <w:rsid w:val="00B415B3"/>
    <w:rsid w:val="00B659C4"/>
    <w:rsid w:val="00B870D1"/>
    <w:rsid w:val="00BA0FF8"/>
    <w:rsid w:val="00BB1A0F"/>
    <w:rsid w:val="00BD6EAC"/>
    <w:rsid w:val="00BF25F2"/>
    <w:rsid w:val="00C16B6D"/>
    <w:rsid w:val="00C5119B"/>
    <w:rsid w:val="00CA379E"/>
    <w:rsid w:val="00D04364"/>
    <w:rsid w:val="00D104C2"/>
    <w:rsid w:val="00D22379"/>
    <w:rsid w:val="00D366B7"/>
    <w:rsid w:val="00D57578"/>
    <w:rsid w:val="00D80666"/>
    <w:rsid w:val="00DC571B"/>
    <w:rsid w:val="00DD312A"/>
    <w:rsid w:val="00DF309A"/>
    <w:rsid w:val="00E23F24"/>
    <w:rsid w:val="00E24D45"/>
    <w:rsid w:val="00E366B0"/>
    <w:rsid w:val="00E60089"/>
    <w:rsid w:val="00E72919"/>
    <w:rsid w:val="00E93338"/>
    <w:rsid w:val="00F146BB"/>
    <w:rsid w:val="00F270EE"/>
    <w:rsid w:val="00F86BE2"/>
    <w:rsid w:val="00FB454D"/>
    <w:rsid w:val="00FC1BD9"/>
    <w:rsid w:val="00FD51FD"/>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locked/>
    <w:rsid w:val="0083241E"/>
    <w:rPr>
      <w:rFonts w:ascii="Times New Roman" w:eastAsia="Times New Roman" w:hAnsi="Times New Roman" w:cs="Times New Roman"/>
      <w:sz w:val="24"/>
      <w:szCs w:val="24"/>
      <w:lang w:eastAsia="ru-RU"/>
    </w:rPr>
  </w:style>
  <w:style w:type="character" w:customStyle="1" w:styleId="fontstyle01">
    <w:name w:val="fontstyle01"/>
    <w:basedOn w:val="a0"/>
    <w:rsid w:val="003A2F34"/>
    <w:rPr>
      <w:rFonts w:ascii="Calibri-Identity-H" w:hAnsi="Calibri-Identity-H" w:hint="default"/>
      <w:b w:val="0"/>
      <w:bCs w:val="0"/>
      <w:i w:val="0"/>
      <w:iCs w:val="0"/>
      <w:color w:val="151616"/>
      <w:sz w:val="20"/>
      <w:szCs w:val="20"/>
    </w:rPr>
  </w:style>
  <w:style w:type="character" w:customStyle="1" w:styleId="apple-tab-span">
    <w:name w:val="apple-tab-span"/>
    <w:basedOn w:val="a0"/>
    <w:rsid w:val="00D366B7"/>
  </w:style>
  <w:style w:type="paragraph" w:styleId="aa">
    <w:name w:val="footer"/>
    <w:basedOn w:val="a"/>
    <w:link w:val="ab"/>
    <w:uiPriority w:val="99"/>
    <w:unhideWhenUsed/>
    <w:rsid w:val="00D80666"/>
    <w:pPr>
      <w:tabs>
        <w:tab w:val="center" w:pos="4819"/>
        <w:tab w:val="right" w:pos="9639"/>
      </w:tabs>
      <w:spacing w:after="0" w:line="240" w:lineRule="auto"/>
    </w:pPr>
    <w:rPr>
      <w:rFonts w:ascii="Calibri" w:eastAsia="Calibri" w:hAnsi="Calibri" w:cs="Times New Roman"/>
    </w:rPr>
  </w:style>
  <w:style w:type="character" w:customStyle="1" w:styleId="ab">
    <w:name w:val="Нижний колонтитул Знак"/>
    <w:basedOn w:val="a0"/>
    <w:link w:val="aa"/>
    <w:uiPriority w:val="99"/>
    <w:rsid w:val="00D8066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2</Pages>
  <Words>624</Words>
  <Characters>3558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30</cp:revision>
  <dcterms:created xsi:type="dcterms:W3CDTF">2022-01-17T08:29:00Z</dcterms:created>
  <dcterms:modified xsi:type="dcterms:W3CDTF">2026-03-24T14:10:00Z</dcterms:modified>
</cp:coreProperties>
</file>