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26E8" w14:textId="77777777" w:rsidR="00F63E0D" w:rsidRDefault="00DC571B" w:rsidP="007463F9">
      <w:pPr>
        <w:pStyle w:val="LO-normal"/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63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характеристик, очікуваної вартості предмета закупівлі при проведенні процедури закупівлі за предметом: </w:t>
      </w:r>
    </w:p>
    <w:p w14:paraId="771888BD" w14:textId="77777777" w:rsidR="00F63E0D" w:rsidRDefault="00F63E0D" w:rsidP="007463F9">
      <w:pPr>
        <w:pStyle w:val="LO-normal"/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D6D1C5" w14:textId="77777777" w:rsidR="00194E20" w:rsidRDefault="00DC571B" w:rsidP="00194E20">
      <w:pPr>
        <w:pStyle w:val="LO-normal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63E0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194E20" w:rsidRPr="00194E20">
        <w:rPr>
          <w:rFonts w:ascii="Times New Roman" w:hAnsi="Times New Roman" w:cs="Times New Roman"/>
          <w:b/>
          <w:bCs/>
          <w:iCs/>
          <w:sz w:val="28"/>
          <w:szCs w:val="28"/>
        </w:rPr>
        <w:t>Послуги</w:t>
      </w:r>
      <w:proofErr w:type="spellEnd"/>
      <w:r w:rsidR="00194E20" w:rsidRPr="00194E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194E20" w:rsidRPr="00194E20">
        <w:rPr>
          <w:rFonts w:ascii="Times New Roman" w:hAnsi="Times New Roman" w:cs="Times New Roman"/>
          <w:b/>
          <w:bCs/>
          <w:iCs/>
          <w:sz w:val="28"/>
          <w:szCs w:val="28"/>
        </w:rPr>
        <w:t>зі</w:t>
      </w:r>
      <w:proofErr w:type="spellEnd"/>
      <w:r w:rsidR="00194E20" w:rsidRPr="00194E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194E20" w:rsidRPr="00194E20">
        <w:rPr>
          <w:rFonts w:ascii="Times New Roman" w:hAnsi="Times New Roman" w:cs="Times New Roman"/>
          <w:b/>
          <w:bCs/>
          <w:iCs/>
          <w:sz w:val="28"/>
          <w:szCs w:val="28"/>
        </w:rPr>
        <w:t>стерилізації</w:t>
      </w:r>
      <w:proofErr w:type="spellEnd"/>
      <w:r w:rsidR="00194E20" w:rsidRPr="00194E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194E20" w:rsidRPr="00194E20">
        <w:rPr>
          <w:rFonts w:ascii="Times New Roman" w:hAnsi="Times New Roman" w:cs="Times New Roman"/>
          <w:b/>
          <w:bCs/>
          <w:iCs/>
          <w:sz w:val="28"/>
          <w:szCs w:val="28"/>
        </w:rPr>
        <w:t>безпритульних</w:t>
      </w:r>
      <w:proofErr w:type="spellEnd"/>
      <w:r w:rsidR="00194E20" w:rsidRPr="00194E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тварин</w:t>
      </w:r>
      <w:r w:rsidR="00194E2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»</w:t>
      </w:r>
      <w:r w:rsidR="00194E20" w:rsidRPr="00194E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330A3665" w14:textId="5B8C34EA" w:rsidR="00DC571B" w:rsidRDefault="00194E20" w:rsidP="00194E20">
      <w:pPr>
        <w:pStyle w:val="LO-normal"/>
        <w:widowControl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94E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Код ДК 021:2015:85210000-3 - </w:t>
      </w:r>
      <w:proofErr w:type="spellStart"/>
      <w:r w:rsidRPr="00194E20">
        <w:rPr>
          <w:rFonts w:ascii="Times New Roman" w:hAnsi="Times New Roman" w:cs="Times New Roman"/>
          <w:b/>
          <w:bCs/>
          <w:iCs/>
          <w:sz w:val="28"/>
          <w:szCs w:val="28"/>
        </w:rPr>
        <w:t>Розплідники</w:t>
      </w:r>
      <w:proofErr w:type="spellEnd"/>
      <w:r w:rsidRPr="00194E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194E20">
        <w:rPr>
          <w:rFonts w:ascii="Times New Roman" w:hAnsi="Times New Roman" w:cs="Times New Roman"/>
          <w:b/>
          <w:bCs/>
          <w:iCs/>
          <w:sz w:val="28"/>
          <w:szCs w:val="28"/>
        </w:rPr>
        <w:t>домашніх</w:t>
      </w:r>
      <w:proofErr w:type="spellEnd"/>
      <w:r w:rsidRPr="00194E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тварин</w:t>
      </w:r>
    </w:p>
    <w:p w14:paraId="29D5876E" w14:textId="77777777" w:rsidR="00411321" w:rsidRPr="007463F9" w:rsidRDefault="00411321" w:rsidP="004526C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FB93D0E" w14:textId="4D4D4E22" w:rsidR="00DC571B" w:rsidRPr="007A1F88" w:rsidRDefault="00DC571B" w:rsidP="007A1F88">
      <w:pPr>
        <w:rPr>
          <w:rFonts w:ascii="Times New Roman" w:hAnsi="Times New Roman"/>
          <w:b/>
          <w:sz w:val="24"/>
          <w:szCs w:val="24"/>
        </w:rPr>
      </w:pPr>
      <w:r w:rsidRPr="007463F9">
        <w:rPr>
          <w:rFonts w:ascii="Times New Roman" w:hAnsi="Times New Roman"/>
          <w:b/>
          <w:sz w:val="24"/>
          <w:szCs w:val="24"/>
        </w:rPr>
        <w:t xml:space="preserve">Ідентифікатор закупівлі в електронній системі : </w:t>
      </w:r>
      <w:r w:rsidR="00B026FF" w:rsidRPr="00B026FF">
        <w:rPr>
          <w:rFonts w:ascii="Times New Roman" w:hAnsi="Times New Roman"/>
          <w:b/>
          <w:sz w:val="24"/>
          <w:szCs w:val="24"/>
        </w:rPr>
        <w:t>UA-2026-03-20-004897-a</w:t>
      </w:r>
    </w:p>
    <w:p w14:paraId="006847D6" w14:textId="77777777" w:rsidR="00DC571B" w:rsidRPr="007463F9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7463F9"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Pr="007463F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Відкриті торги</w:t>
      </w:r>
      <w:r w:rsidR="002453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з особливостями</w:t>
      </w:r>
    </w:p>
    <w:p w14:paraId="3B98990F" w14:textId="5BE9E0EC" w:rsidR="00DC571B" w:rsidRPr="007463F9" w:rsidRDefault="00DC571B" w:rsidP="00411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3F9">
        <w:rPr>
          <w:rFonts w:ascii="Times New Roman" w:hAnsi="Times New Roman" w:cs="Times New Roman"/>
          <w:b/>
          <w:sz w:val="24"/>
          <w:szCs w:val="24"/>
        </w:rPr>
        <w:t xml:space="preserve">Очікувана вартість: </w:t>
      </w:r>
      <w:r w:rsidR="00194E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150 000</w:t>
      </w:r>
      <w:r w:rsidR="00E03C1B" w:rsidRPr="00E03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,00 грн.</w:t>
      </w:r>
      <w:r w:rsidR="00E03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, з ПДВ</w:t>
      </w:r>
    </w:p>
    <w:p w14:paraId="6834B6C1" w14:textId="77777777" w:rsidR="00DC571B" w:rsidRPr="007463F9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3F9">
        <w:rPr>
          <w:rFonts w:ascii="Times New Roman" w:eastAsia="Times New Roman" w:hAnsi="Times New Roman" w:cs="Times New Roman"/>
          <w:b/>
          <w:sz w:val="24"/>
          <w:szCs w:val="24"/>
        </w:rPr>
        <w:t xml:space="preserve">Підстава для публікації обґрунтування: </w:t>
      </w:r>
      <w:r w:rsidRPr="007463F9">
        <w:rPr>
          <w:rFonts w:ascii="Times New Roman" w:eastAsia="Times New Roman" w:hAnsi="Times New Roman" w:cs="Times New Roman"/>
          <w:sz w:val="24"/>
          <w:szCs w:val="24"/>
        </w:rPr>
        <w:t xml:space="preserve">постанова Кабінету Міністрів України від 11.10.2016 р № 710 «Про ефективне використання бюджетних коштів» </w:t>
      </w:r>
      <w:r w:rsidR="00411321" w:rsidRPr="007463F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463F9">
        <w:rPr>
          <w:rFonts w:ascii="Times New Roman" w:eastAsia="Times New Roman" w:hAnsi="Times New Roman" w:cs="Times New Roman"/>
          <w:sz w:val="24"/>
          <w:szCs w:val="24"/>
        </w:rPr>
        <w:t>зі змінами</w:t>
      </w:r>
      <w:r w:rsidR="00411321" w:rsidRPr="007463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463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53FE54" w14:textId="77777777" w:rsidR="00DC571B" w:rsidRPr="007463F9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3F9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Замовник: </w:t>
      </w:r>
      <w:r w:rsidR="00411321" w:rsidRPr="007463F9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Переяславське виробниче управління комунального господарства Переяславської міської ради</w:t>
      </w:r>
      <w:r w:rsidRPr="007463F9">
        <w:rPr>
          <w:rFonts w:ascii="Times New Roman" w:eastAsia="Times New Roman" w:hAnsi="Times New Roman" w:cs="Times New Roman"/>
          <w:sz w:val="24"/>
          <w:szCs w:val="24"/>
        </w:rPr>
        <w:t xml:space="preserve">, код ЄДРПОУ – </w:t>
      </w:r>
      <w:r w:rsidR="00411321" w:rsidRPr="007463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05473594</w:t>
      </w:r>
    </w:p>
    <w:p w14:paraId="3650ABCA" w14:textId="77777777" w:rsidR="00411321" w:rsidRPr="007463F9" w:rsidRDefault="00411321" w:rsidP="00411321">
      <w:pPr>
        <w:spacing w:after="0" w:line="240" w:lineRule="auto"/>
        <w:ind w:firstLine="709"/>
        <w:jc w:val="both"/>
      </w:pPr>
    </w:p>
    <w:p w14:paraId="4FDB44F7" w14:textId="77777777" w:rsidR="007463F9" w:rsidRPr="00245308" w:rsidRDefault="007463F9" w:rsidP="00352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4530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Обґрунтування технічних та якісних характеристик предмета закупівлі. </w:t>
      </w:r>
    </w:p>
    <w:p w14:paraId="7F9DD825" w14:textId="74592028" w:rsidR="00F2174F" w:rsidRDefault="00194E20" w:rsidP="00E03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E20">
        <w:rPr>
          <w:rFonts w:ascii="Times New Roman" w:hAnsi="Times New Roman" w:cs="Times New Roman"/>
          <w:sz w:val="24"/>
          <w:szCs w:val="24"/>
        </w:rPr>
        <w:t>Доцільність закупівлі зумовлена необхідністю виконання вимог Закону України «Про захист тварин від жорстокого поводження», який зобов’язує органи місцевого самоврядування регулювати чисельність безпритульних тварин виключно гуманними методами. Проведення масової стерилізації є найбільш економічно ефективним стратегічним рішенням, оскільки воно зупиняє геометричне зростання популяції</w:t>
      </w:r>
      <w:r w:rsidR="00F2174F">
        <w:rPr>
          <w:rFonts w:ascii="Times New Roman" w:hAnsi="Times New Roman" w:cs="Times New Roman"/>
          <w:sz w:val="24"/>
          <w:szCs w:val="24"/>
        </w:rPr>
        <w:t xml:space="preserve"> м</w:t>
      </w:r>
      <w:r w:rsidR="00F2174F" w:rsidRPr="00F2174F">
        <w:rPr>
          <w:rFonts w:ascii="Times New Roman" w:hAnsi="Times New Roman" w:cs="Times New Roman"/>
          <w:sz w:val="24"/>
          <w:szCs w:val="24"/>
        </w:rPr>
        <w:t>етод</w:t>
      </w:r>
      <w:r w:rsidR="00F2174F">
        <w:rPr>
          <w:rFonts w:ascii="Times New Roman" w:hAnsi="Times New Roman" w:cs="Times New Roman"/>
          <w:sz w:val="24"/>
          <w:szCs w:val="24"/>
        </w:rPr>
        <w:t>ом</w:t>
      </w:r>
      <w:r w:rsidR="00F2174F" w:rsidRPr="00F2174F">
        <w:rPr>
          <w:rFonts w:ascii="Times New Roman" w:hAnsi="Times New Roman" w:cs="Times New Roman"/>
          <w:sz w:val="24"/>
          <w:szCs w:val="24"/>
        </w:rPr>
        <w:t xml:space="preserve"> ВСП Відлов — Стерилізація — Повернення</w:t>
      </w:r>
      <w:r w:rsidR="00F2174F">
        <w:rPr>
          <w:rFonts w:ascii="Times New Roman" w:hAnsi="Times New Roman" w:cs="Times New Roman"/>
          <w:sz w:val="24"/>
          <w:szCs w:val="24"/>
        </w:rPr>
        <w:t xml:space="preserve">, </w:t>
      </w:r>
      <w:r w:rsidR="00F2174F" w:rsidRPr="00F2174F">
        <w:rPr>
          <w:rFonts w:ascii="Times New Roman" w:hAnsi="Times New Roman" w:cs="Times New Roman"/>
          <w:sz w:val="24"/>
          <w:szCs w:val="24"/>
        </w:rPr>
        <w:t xml:space="preserve"> дозволяє створити стабільну групу стерилізованих та вакцинованих тварин</w:t>
      </w:r>
      <w:r w:rsidRPr="00194E20">
        <w:rPr>
          <w:rFonts w:ascii="Times New Roman" w:hAnsi="Times New Roman" w:cs="Times New Roman"/>
          <w:sz w:val="24"/>
          <w:szCs w:val="24"/>
        </w:rPr>
        <w:t>, запобігаючи неконтрольованому розмноженню</w:t>
      </w:r>
      <w:r w:rsidR="00F2174F">
        <w:rPr>
          <w:rFonts w:ascii="Times New Roman" w:hAnsi="Times New Roman" w:cs="Times New Roman"/>
          <w:sz w:val="24"/>
          <w:szCs w:val="24"/>
        </w:rPr>
        <w:t xml:space="preserve">. </w:t>
      </w:r>
      <w:r w:rsidRPr="00194E20">
        <w:rPr>
          <w:rFonts w:ascii="Times New Roman" w:hAnsi="Times New Roman" w:cs="Times New Roman"/>
          <w:sz w:val="24"/>
          <w:szCs w:val="24"/>
        </w:rPr>
        <w:t>Окрім контролю чисельності, закупівля знижує рівень соціальної напруги та агресії серед зграй, що безпосередньо впливає на безпеку мешканців та створення гуманного міського середовища.</w:t>
      </w:r>
    </w:p>
    <w:p w14:paraId="538CB3C8" w14:textId="77777777" w:rsidR="00DB63EE" w:rsidRDefault="00DB63EE" w:rsidP="00DB63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40D4605A" w14:textId="6D16B349" w:rsidR="00DB63EE" w:rsidRDefault="00DB63EE" w:rsidP="00DB63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3EE">
        <w:rPr>
          <w:rFonts w:ascii="Times New Roman" w:hAnsi="Times New Roman" w:cs="Times New Roman"/>
          <w:b/>
          <w:bCs/>
          <w:sz w:val="24"/>
          <w:szCs w:val="24"/>
        </w:rPr>
        <w:t>Обсяг надання послуги:</w:t>
      </w:r>
      <w:r w:rsidR="004062F6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E2269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062F6">
        <w:rPr>
          <w:rFonts w:ascii="Times New Roman" w:hAnsi="Times New Roman" w:cs="Times New Roman"/>
          <w:b/>
          <w:bCs/>
          <w:sz w:val="24"/>
          <w:szCs w:val="24"/>
        </w:rPr>
        <w:t xml:space="preserve"> голів</w:t>
      </w:r>
    </w:p>
    <w:p w14:paraId="6EC998CA" w14:textId="77777777" w:rsidR="004062F6" w:rsidRPr="00DB63EE" w:rsidRDefault="004062F6" w:rsidP="00DB63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DB63EE" w:rsidRPr="00DB63EE" w14:paraId="2F830705" w14:textId="77777777" w:rsidTr="003F5D1B">
        <w:trPr>
          <w:trHeight w:val="424"/>
        </w:trPr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400D" w14:textId="77777777" w:rsidR="00DB63EE" w:rsidRPr="00DB63EE" w:rsidRDefault="00DB63EE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послуги: Стерилізація собак </w:t>
            </w:r>
          </w:p>
        </w:tc>
      </w:tr>
      <w:tr w:rsidR="00DB63EE" w:rsidRPr="00DB63EE" w14:paraId="4C2DCB68" w14:textId="77777777" w:rsidTr="003F5D1B">
        <w:trPr>
          <w:trHeight w:val="42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0B8E" w14:textId="77777777" w:rsidR="00DB63EE" w:rsidRPr="00DB63EE" w:rsidRDefault="00DB63EE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Вага тварини, кг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1E07" w14:textId="2F48886F" w:rsidR="00DB63EE" w:rsidRPr="00DB63EE" w:rsidRDefault="004062F6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DB63EE" w:rsidRPr="00DB63EE" w14:paraId="7CA4B6E0" w14:textId="77777777" w:rsidTr="003F5D1B">
        <w:trPr>
          <w:trHeight w:val="421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3EF5" w14:textId="77777777" w:rsidR="00DB63EE" w:rsidRPr="004062F6" w:rsidRDefault="00DB63EE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FF3E" w14:textId="0CA6D269" w:rsidR="00DB63EE" w:rsidRPr="004062F6" w:rsidRDefault="004062F6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63EE" w:rsidRPr="00DB63EE" w14:paraId="593D9B8C" w14:textId="77777777" w:rsidTr="003F5D1B">
        <w:trPr>
          <w:trHeight w:val="399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A8E8" w14:textId="77777777" w:rsidR="00DB63EE" w:rsidRPr="004062F6" w:rsidRDefault="00DB63EE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BE19" w14:textId="6A09D636" w:rsidR="00DB63EE" w:rsidRPr="004062F6" w:rsidRDefault="004F7735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B63EE" w:rsidRPr="00DB63EE" w14:paraId="30A39D16" w14:textId="77777777" w:rsidTr="003F5D1B">
        <w:trPr>
          <w:trHeight w:val="420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3B3A" w14:textId="77777777" w:rsidR="00DB63EE" w:rsidRPr="004062F6" w:rsidRDefault="00DB63EE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F318" w14:textId="7176ABC3" w:rsidR="00DB63EE" w:rsidRPr="004062F6" w:rsidRDefault="004062F6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3EE" w:rsidRPr="00DB63EE" w14:paraId="71ED8657" w14:textId="77777777" w:rsidTr="003F5D1B">
        <w:trPr>
          <w:trHeight w:val="38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25C5" w14:textId="77777777" w:rsidR="00DB63EE" w:rsidRPr="004062F6" w:rsidRDefault="00DB63EE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A2B2" w14:textId="70A8405D" w:rsidR="00DB63EE" w:rsidRPr="004062F6" w:rsidRDefault="004062F6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3EE" w:rsidRPr="00DB63EE" w14:paraId="1B14FC64" w14:textId="77777777" w:rsidTr="003F5D1B">
        <w:trPr>
          <w:trHeight w:val="41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A53A" w14:textId="77777777" w:rsidR="00DB63EE" w:rsidRPr="004062F6" w:rsidRDefault="00DB63EE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7206" w14:textId="01BA189D" w:rsidR="00DB63EE" w:rsidRPr="004062F6" w:rsidRDefault="004062F6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3EE" w:rsidRPr="00DB63EE" w14:paraId="6BFF2A36" w14:textId="77777777" w:rsidTr="003F5D1B">
        <w:trPr>
          <w:trHeight w:val="395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4240" w14:textId="77777777" w:rsidR="00DB63EE" w:rsidRPr="004062F6" w:rsidRDefault="00DB63EE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5462" w14:textId="5B4EF701" w:rsidR="00DB63EE" w:rsidRPr="004062F6" w:rsidRDefault="004062F6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3EE" w:rsidRPr="00DB63EE" w14:paraId="0749D46A" w14:textId="77777777" w:rsidTr="003F5D1B">
        <w:trPr>
          <w:trHeight w:val="402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4810" w14:textId="77777777" w:rsidR="00DB63EE" w:rsidRPr="004062F6" w:rsidRDefault="00DB63EE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5DC4" w14:textId="7F66D580" w:rsidR="00DB63EE" w:rsidRPr="004062F6" w:rsidRDefault="004062F6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3EE" w:rsidRPr="00DB63EE" w14:paraId="26BE1255" w14:textId="77777777" w:rsidTr="003F5D1B">
        <w:trPr>
          <w:trHeight w:val="40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A06E" w14:textId="77777777" w:rsidR="00DB63EE" w:rsidRPr="004062F6" w:rsidRDefault="00DB63EE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40 і більше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5F19" w14:textId="2719952D" w:rsidR="00DB63EE" w:rsidRPr="004062F6" w:rsidRDefault="004062F6" w:rsidP="00DB63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65FDB91" w14:textId="200D78A6" w:rsidR="004526C0" w:rsidRDefault="004062F6" w:rsidP="00DB63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2EE20B" w14:textId="06CAE1B6" w:rsidR="004F7735" w:rsidRPr="00D141DC" w:rsidRDefault="004062F6" w:rsidP="00DB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F6">
        <w:rPr>
          <w:rFonts w:ascii="Times New Roman" w:hAnsi="Times New Roman" w:cs="Times New Roman"/>
          <w:sz w:val="24"/>
          <w:szCs w:val="24"/>
        </w:rPr>
        <w:t xml:space="preserve">Обсяг послуг може </w:t>
      </w:r>
      <w:r w:rsidR="00CA466A">
        <w:rPr>
          <w:rFonts w:ascii="Times New Roman" w:hAnsi="Times New Roman" w:cs="Times New Roman"/>
          <w:sz w:val="24"/>
          <w:szCs w:val="24"/>
        </w:rPr>
        <w:t xml:space="preserve">змінюватися </w:t>
      </w:r>
      <w:r w:rsidRPr="004062F6">
        <w:rPr>
          <w:rFonts w:ascii="Times New Roman" w:hAnsi="Times New Roman" w:cs="Times New Roman"/>
          <w:sz w:val="24"/>
          <w:szCs w:val="24"/>
        </w:rPr>
        <w:t>в залежності від необхідності (потреби) проведення послуг</w:t>
      </w:r>
      <w:r w:rsidR="004F7735">
        <w:rPr>
          <w:rFonts w:ascii="Times New Roman" w:hAnsi="Times New Roman" w:cs="Times New Roman"/>
          <w:sz w:val="24"/>
          <w:szCs w:val="24"/>
        </w:rPr>
        <w:t xml:space="preserve"> у зв’язку з тим, що к</w:t>
      </w:r>
      <w:r w:rsidR="004F7735" w:rsidRPr="004F7735">
        <w:rPr>
          <w:rFonts w:ascii="Times New Roman" w:hAnsi="Times New Roman" w:cs="Times New Roman"/>
          <w:sz w:val="24"/>
          <w:szCs w:val="24"/>
        </w:rPr>
        <w:t xml:space="preserve">ількість послуг з вилову тварин є динамічною та залежить від фактичної епізоотичної ситуації та чисельності безпритульних тварин, що потребують вилову на момент виконання заявки. </w:t>
      </w:r>
      <w:r w:rsidR="004F7735">
        <w:rPr>
          <w:rFonts w:ascii="Times New Roman" w:hAnsi="Times New Roman" w:cs="Times New Roman"/>
          <w:sz w:val="24"/>
          <w:szCs w:val="24"/>
        </w:rPr>
        <w:t>Тому з</w:t>
      </w:r>
      <w:r w:rsidR="004F7735" w:rsidRPr="004F7735">
        <w:rPr>
          <w:rFonts w:ascii="Times New Roman" w:hAnsi="Times New Roman" w:cs="Times New Roman"/>
          <w:sz w:val="24"/>
          <w:szCs w:val="24"/>
        </w:rPr>
        <w:t>амовник залишає за собою право коригувати обсяг закупівлі залежно від реальних потреб</w:t>
      </w:r>
      <w:r w:rsidR="004F7735">
        <w:rPr>
          <w:rFonts w:ascii="Times New Roman" w:hAnsi="Times New Roman" w:cs="Times New Roman"/>
          <w:sz w:val="24"/>
          <w:szCs w:val="24"/>
        </w:rPr>
        <w:t>.</w:t>
      </w:r>
      <w:r w:rsidR="00D141DC">
        <w:rPr>
          <w:rFonts w:ascii="Times New Roman" w:hAnsi="Times New Roman" w:cs="Times New Roman"/>
          <w:sz w:val="24"/>
          <w:szCs w:val="24"/>
        </w:rPr>
        <w:t xml:space="preserve"> </w:t>
      </w:r>
      <w:r w:rsidR="00D141DC" w:rsidRPr="00D141DC">
        <w:rPr>
          <w:rFonts w:ascii="Times New Roman" w:hAnsi="Times New Roman" w:cs="Times New Roman"/>
          <w:sz w:val="24"/>
          <w:szCs w:val="24"/>
        </w:rPr>
        <w:t>У загальну кількість голів враховано, що 5 собак можуть бути вагітні, за що здійснюється окрема доплата замовником.</w:t>
      </w:r>
    </w:p>
    <w:p w14:paraId="5BFEC531" w14:textId="5EFD9726" w:rsidR="00E03C1B" w:rsidRPr="007A6C5B" w:rsidRDefault="00E03C1B" w:rsidP="00E03C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C5B">
        <w:rPr>
          <w:rFonts w:ascii="Times New Roman" w:hAnsi="Times New Roman" w:cs="Times New Roman"/>
          <w:b/>
          <w:bCs/>
          <w:sz w:val="24"/>
          <w:szCs w:val="24"/>
        </w:rPr>
        <w:t xml:space="preserve">Якість </w:t>
      </w:r>
      <w:r w:rsidR="008919B8">
        <w:rPr>
          <w:rFonts w:ascii="Times New Roman" w:hAnsi="Times New Roman" w:cs="Times New Roman"/>
          <w:b/>
          <w:bCs/>
          <w:sz w:val="24"/>
          <w:szCs w:val="24"/>
        </w:rPr>
        <w:t>послуг</w:t>
      </w:r>
      <w:r w:rsidRPr="007A6C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0796F5" w14:textId="75CDE6BC" w:rsidR="000F4CA2" w:rsidRPr="004526C0" w:rsidRDefault="004526C0" w:rsidP="004526C0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526C0">
        <w:rPr>
          <w:rFonts w:ascii="Times New Roman" w:eastAsia="SimSun" w:hAnsi="Times New Roman" w:cs="Times New Roman"/>
          <w:sz w:val="24"/>
          <w:szCs w:val="24"/>
          <w:lang w:eastAsia="ar-SA"/>
        </w:rPr>
        <w:t>Учасник повинен мати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526C0">
        <w:rPr>
          <w:rFonts w:ascii="Times New Roman" w:eastAsia="SimSun" w:hAnsi="Times New Roman" w:cs="Times New Roman"/>
          <w:sz w:val="24"/>
          <w:szCs w:val="24"/>
          <w:lang w:eastAsia="ar-SA"/>
        </w:rPr>
        <w:t>ліцензію на провадження господарської діяльності з ветеринарної практики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Pr="004526C0">
        <w:rPr>
          <w:rFonts w:ascii="Times New Roman" w:eastAsia="SimSun" w:hAnsi="Times New Roman" w:cs="Times New Roman"/>
          <w:sz w:val="24"/>
          <w:szCs w:val="24"/>
          <w:lang w:eastAsia="ar-SA"/>
        </w:rPr>
        <w:t>медичне обладнання, медикаменти</w:t>
      </w:r>
      <w:r w:rsidR="00BD4F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Pr="004526C0">
        <w:rPr>
          <w:rFonts w:ascii="Times New Roman" w:eastAsia="SimSun" w:hAnsi="Times New Roman" w:cs="Times New Roman"/>
          <w:sz w:val="24"/>
          <w:szCs w:val="24"/>
          <w:lang w:eastAsia="ar-SA"/>
        </w:rPr>
        <w:t>матеріали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та </w:t>
      </w:r>
      <w:r w:rsidRPr="004526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наявність працівників відповідної </w:t>
      </w:r>
      <w:r w:rsidRPr="004526C0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кваліфікації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4526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4CA2" w:rsidRPr="00AF47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Учасник має надавати послуги </w:t>
      </w:r>
      <w:r w:rsidR="000F4CA2" w:rsidRPr="00AF4702">
        <w:rPr>
          <w:rFonts w:ascii="Times New Roman" w:hAnsi="Times New Roman" w:cs="Times New Roman"/>
          <w:lang w:eastAsia="ru-RU"/>
        </w:rPr>
        <w:t xml:space="preserve">з стерилізації та </w:t>
      </w:r>
      <w:r w:rsidR="000F4CA2" w:rsidRPr="00AF4702">
        <w:rPr>
          <w:rFonts w:ascii="Times New Roman" w:hAnsi="Times New Roman" w:cs="Times New Roman"/>
          <w:sz w:val="24"/>
          <w:szCs w:val="24"/>
          <w:lang w:eastAsia="ru-RU"/>
        </w:rPr>
        <w:t xml:space="preserve">ідентифікації вушною </w:t>
      </w:r>
      <w:proofErr w:type="spellStart"/>
      <w:r w:rsidR="000F4CA2" w:rsidRPr="00AF4702">
        <w:rPr>
          <w:rFonts w:ascii="Times New Roman" w:hAnsi="Times New Roman" w:cs="Times New Roman"/>
          <w:sz w:val="24"/>
          <w:szCs w:val="24"/>
          <w:lang w:eastAsia="ru-RU"/>
        </w:rPr>
        <w:t>біркою</w:t>
      </w:r>
      <w:proofErr w:type="spellEnd"/>
      <w:r w:rsidR="000F4CA2" w:rsidRPr="00E13D81">
        <w:rPr>
          <w:rFonts w:ascii="Times New Roman" w:hAnsi="Times New Roman" w:cs="Times New Roman"/>
          <w:sz w:val="24"/>
          <w:szCs w:val="24"/>
          <w:lang w:eastAsia="ru-RU"/>
        </w:rPr>
        <w:t>, маркування вуха</w:t>
      </w:r>
      <w:r w:rsidR="000F4CA2" w:rsidRPr="00AF4702">
        <w:rPr>
          <w:rFonts w:ascii="Times New Roman" w:hAnsi="Times New Roman" w:cs="Times New Roman"/>
          <w:sz w:val="24"/>
          <w:szCs w:val="24"/>
          <w:lang w:eastAsia="ru-RU"/>
        </w:rPr>
        <w:t xml:space="preserve"> та інших заходів відповідно до законодавства України:</w:t>
      </w:r>
      <w:r w:rsidR="000F4CA2" w:rsidRPr="00AF47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4CA2" w:rsidRPr="00AF4702">
        <w:rPr>
          <w:rFonts w:ascii="Times New Roman" w:hAnsi="Times New Roman" w:cs="Times New Roman"/>
          <w:sz w:val="24"/>
          <w:szCs w:val="24"/>
          <w:lang w:eastAsia="ru-RU"/>
        </w:rPr>
        <w:t xml:space="preserve">Закону України «Про захист населення від інфекційних </w:t>
      </w:r>
      <w:proofErr w:type="spellStart"/>
      <w:r w:rsidR="000F4CA2" w:rsidRPr="00AF4702">
        <w:rPr>
          <w:rFonts w:ascii="Times New Roman" w:hAnsi="Times New Roman" w:cs="Times New Roman"/>
          <w:sz w:val="24"/>
          <w:szCs w:val="24"/>
          <w:lang w:eastAsia="ru-RU"/>
        </w:rPr>
        <w:t>хвороб</w:t>
      </w:r>
      <w:proofErr w:type="spellEnd"/>
      <w:r w:rsidR="000F4CA2" w:rsidRPr="00AF4702">
        <w:rPr>
          <w:rFonts w:ascii="Times New Roman" w:hAnsi="Times New Roman" w:cs="Times New Roman"/>
          <w:sz w:val="24"/>
          <w:szCs w:val="24"/>
          <w:lang w:eastAsia="ru-RU"/>
        </w:rPr>
        <w:t>» № 1645-ІІІ від 06.04.2000 р.; Закону України «Про забезпечення санітарного та епідемічного благополуччя населення» № 400-ХІІ від 24.02.1994 р.</w:t>
      </w:r>
      <w:r w:rsidR="003C1E5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F4CA2" w:rsidRPr="00AF4702">
        <w:rPr>
          <w:rFonts w:ascii="Times New Roman" w:hAnsi="Times New Roman" w:cs="Times New Roman"/>
          <w:sz w:val="24"/>
          <w:szCs w:val="24"/>
          <w:lang w:eastAsia="ru-RU"/>
        </w:rPr>
        <w:t>Закону України «Про ветеринарну медицину» № 2775-ІІІ від 15.11.2001 р.</w:t>
      </w:r>
      <w:r w:rsidR="003C1E5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F4CA2" w:rsidRPr="00AF4702">
        <w:rPr>
          <w:rFonts w:ascii="Times New Roman" w:hAnsi="Times New Roman" w:cs="Times New Roman"/>
          <w:sz w:val="24"/>
          <w:szCs w:val="24"/>
          <w:lang w:eastAsia="ru-RU"/>
        </w:rPr>
        <w:t xml:space="preserve"> Закону України «Про захист тварин від жорстокого поводження» № 3447-ІV від 21.02.2006 р., Постановою Кабінету Міністрів України від 24.06.2022 р. № 720 «Про затвердження Порядку регулювання чисельності тварин, що не утримуються людиною, але перебувають в умовах, повністю або частково створюваних діяльністю людини, та безпритульних тварин, а також їх розміщення на відповідних підприємствах, в установах та організаціях чи повернення до ареалу перебування (місць вилову)</w:t>
      </w:r>
      <w:r w:rsidR="003C1E5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0F4CA2" w:rsidRPr="00AF4702">
        <w:rPr>
          <w:rFonts w:ascii="Times New Roman" w:hAnsi="Times New Roman" w:cs="Times New Roman"/>
          <w:sz w:val="24"/>
          <w:szCs w:val="24"/>
          <w:lang w:eastAsia="ru-RU"/>
        </w:rPr>
        <w:t xml:space="preserve"> та інших нормативних актів, постанов та методичних рекомендацій.</w:t>
      </w:r>
    </w:p>
    <w:p w14:paraId="4792F9CA" w14:textId="6BDF4F7F" w:rsidR="004526C0" w:rsidRDefault="004526C0" w:rsidP="004526C0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26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Місце надання послуг</w:t>
      </w:r>
      <w:r w:rsidRPr="004526C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bookmarkStart w:id="0" w:name="_Hlk224809329"/>
      <w:r w:rsidRPr="004526C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4526C0">
        <w:rPr>
          <w:rFonts w:ascii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4526C0">
        <w:rPr>
          <w:rFonts w:ascii="Times New Roman" w:hAnsi="Times New Roman" w:cs="Times New Roman"/>
          <w:sz w:val="24"/>
          <w:szCs w:val="24"/>
          <w:lang w:eastAsia="ru-RU"/>
        </w:rPr>
        <w:t xml:space="preserve">  спеціалізованого приміщення Виконавця </w:t>
      </w:r>
      <w:bookmarkEnd w:id="0"/>
      <w:r w:rsidR="00BD4FE6">
        <w:rPr>
          <w:rFonts w:ascii="Times New Roman" w:hAnsi="Times New Roman" w:cs="Times New Roman"/>
          <w:sz w:val="24"/>
          <w:szCs w:val="24"/>
          <w:lang w:eastAsia="ru-RU"/>
        </w:rPr>
        <w:t xml:space="preserve">на території Переяславської міської територіальної громади. </w:t>
      </w:r>
      <w:r w:rsidR="00BD4FE6" w:rsidRPr="00BD4FE6">
        <w:rPr>
          <w:rFonts w:ascii="Times New Roman" w:hAnsi="Times New Roman" w:cs="Times New Roman"/>
          <w:sz w:val="24"/>
          <w:szCs w:val="24"/>
          <w:lang w:eastAsia="ru-RU"/>
        </w:rPr>
        <w:t xml:space="preserve">Транспортування тварин до місця надання послуг та в зворотному напрямку забезпечується силами та засобами Замовника. </w:t>
      </w:r>
      <w:r w:rsidR="00DB63EE" w:rsidRPr="00DB63EE">
        <w:rPr>
          <w:rFonts w:ascii="Times New Roman" w:hAnsi="Times New Roman" w:cs="Times New Roman"/>
          <w:sz w:val="24"/>
          <w:szCs w:val="24"/>
          <w:lang w:eastAsia="ru-RU"/>
        </w:rPr>
        <w:t xml:space="preserve">З метою оптимізації логістичних витрат та раціонального використання коштів на пальне, стерилізація собак здійснюється виключно за </w:t>
      </w:r>
      <w:proofErr w:type="spellStart"/>
      <w:r w:rsidR="00DB63EE" w:rsidRPr="00DB63EE">
        <w:rPr>
          <w:rFonts w:ascii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="00DB63EE" w:rsidRPr="00DB63EE">
        <w:rPr>
          <w:rFonts w:ascii="Times New Roman" w:hAnsi="Times New Roman" w:cs="Times New Roman"/>
          <w:sz w:val="24"/>
          <w:szCs w:val="24"/>
          <w:lang w:eastAsia="ru-RU"/>
        </w:rPr>
        <w:t xml:space="preserve">  спеціалізованого приміщення Виконавця </w:t>
      </w:r>
      <w:r w:rsidR="00DB63EE">
        <w:rPr>
          <w:rFonts w:ascii="Times New Roman" w:hAnsi="Times New Roman" w:cs="Times New Roman"/>
          <w:sz w:val="24"/>
          <w:szCs w:val="24"/>
          <w:lang w:eastAsia="ru-RU"/>
        </w:rPr>
        <w:t xml:space="preserve">на території Переяславської міської територіальної громади. </w:t>
      </w:r>
      <w:r w:rsidR="00DB63EE" w:rsidRPr="00DB63EE">
        <w:rPr>
          <w:rFonts w:ascii="Times New Roman" w:hAnsi="Times New Roman" w:cs="Times New Roman"/>
          <w:sz w:val="24"/>
          <w:szCs w:val="24"/>
          <w:lang w:eastAsia="ru-RU"/>
        </w:rPr>
        <w:t>Використання власної транспортної бази в межах міста дозволяє забезпечити оперативність процесу без залучення ресурсів на міжміські перевезення</w:t>
      </w:r>
      <w:r w:rsidR="00DB63E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C59B4B6" w14:textId="13B2A5E5" w:rsidR="004526C0" w:rsidRDefault="004526C0" w:rsidP="004526C0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26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Термін надання послуги</w:t>
      </w:r>
      <w:r w:rsidRPr="004526C0">
        <w:rPr>
          <w:rFonts w:ascii="Times New Roman" w:hAnsi="Times New Roman" w:cs="Times New Roman"/>
          <w:sz w:val="24"/>
          <w:szCs w:val="24"/>
          <w:lang w:eastAsia="ru-RU"/>
        </w:rPr>
        <w:t>: до 31.12.2026 року.</w:t>
      </w:r>
    </w:p>
    <w:p w14:paraId="4F1AD5C0" w14:textId="2C9DFA85" w:rsidR="007463F9" w:rsidRPr="007463F9" w:rsidRDefault="004526C0" w:rsidP="00452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         </w:t>
      </w:r>
      <w:r w:rsidR="0035234D">
        <w:rPr>
          <w:rFonts w:ascii="Times New Roman" w:hAnsi="Times New Roman"/>
          <w:b/>
          <w:sz w:val="24"/>
          <w:szCs w:val="24"/>
          <w:lang w:eastAsia="uk-UA"/>
        </w:rPr>
        <w:t>Обґ</w:t>
      </w:r>
      <w:r w:rsidR="007463F9" w:rsidRPr="007463F9">
        <w:rPr>
          <w:rFonts w:ascii="Times New Roman" w:hAnsi="Times New Roman"/>
          <w:b/>
          <w:sz w:val="24"/>
          <w:szCs w:val="24"/>
          <w:lang w:eastAsia="uk-UA"/>
        </w:rPr>
        <w:t>рунтування очікуваної вартості закупівлі.</w:t>
      </w:r>
    </w:p>
    <w:p w14:paraId="53871737" w14:textId="254F886D" w:rsidR="007463F9" w:rsidRPr="007463F9" w:rsidRDefault="004526C0" w:rsidP="004526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</w:t>
      </w:r>
      <w:r w:rsidR="007463F9" w:rsidRPr="007463F9">
        <w:rPr>
          <w:rFonts w:ascii="Times New Roman" w:hAnsi="Times New Roman"/>
          <w:sz w:val="24"/>
          <w:szCs w:val="24"/>
          <w:lang w:eastAsia="uk-UA"/>
        </w:rPr>
        <w:t xml:space="preserve">Розмір бюджетного призначення на закупівлю товару становить </w:t>
      </w:r>
      <w:r w:rsidR="008919B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150 000</w:t>
      </w:r>
      <w:r w:rsidR="007C2D62" w:rsidRPr="007C2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,00 грн. (с</w:t>
      </w:r>
      <w:r w:rsidR="008919B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то</w:t>
      </w:r>
      <w:r w:rsidR="007C2D62" w:rsidRPr="007C2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 xml:space="preserve"> </w:t>
      </w:r>
      <w:proofErr w:type="spellStart"/>
      <w:r w:rsidR="008919B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п'ятдесят</w:t>
      </w:r>
      <w:proofErr w:type="spellEnd"/>
      <w:r w:rsidR="007C2D62" w:rsidRPr="007C2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 xml:space="preserve"> </w:t>
      </w:r>
      <w:proofErr w:type="spellStart"/>
      <w:r w:rsidR="007C2D62" w:rsidRPr="007C2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тисяч</w:t>
      </w:r>
      <w:proofErr w:type="spellEnd"/>
      <w:r w:rsidR="007C2D62" w:rsidRPr="007C2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 xml:space="preserve"> </w:t>
      </w:r>
      <w:proofErr w:type="spellStart"/>
      <w:r w:rsidR="007C2D62" w:rsidRPr="007C2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гривень</w:t>
      </w:r>
      <w:proofErr w:type="spellEnd"/>
      <w:r w:rsidR="007C2D62" w:rsidRPr="007C2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 xml:space="preserve"> 00 </w:t>
      </w:r>
      <w:proofErr w:type="spellStart"/>
      <w:r w:rsidR="007C2D62" w:rsidRPr="007C2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копійок</w:t>
      </w:r>
      <w:proofErr w:type="spellEnd"/>
      <w:r w:rsidR="007C2D62" w:rsidRPr="007C2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)</w:t>
      </w:r>
      <w:r w:rsidR="007C2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 xml:space="preserve">, </w:t>
      </w:r>
      <w:r w:rsidR="007463F9" w:rsidRPr="007463F9">
        <w:rPr>
          <w:rFonts w:ascii="Times New Roman" w:hAnsi="Times New Roman"/>
          <w:sz w:val="24"/>
          <w:szCs w:val="24"/>
          <w:lang w:eastAsia="uk-UA"/>
        </w:rPr>
        <w:t>з ПДВ</w:t>
      </w:r>
      <w:r w:rsidR="007C2D62">
        <w:rPr>
          <w:rFonts w:ascii="Times New Roman" w:hAnsi="Times New Roman"/>
          <w:sz w:val="24"/>
          <w:szCs w:val="24"/>
          <w:lang w:eastAsia="uk-UA"/>
        </w:rPr>
        <w:t>.</w:t>
      </w:r>
    </w:p>
    <w:p w14:paraId="00928B7A" w14:textId="311F2DB8" w:rsidR="00020188" w:rsidRPr="00176CDD" w:rsidRDefault="004526C0" w:rsidP="004526C0">
      <w:pPr>
        <w:pStyle w:val="a4"/>
        <w:spacing w:line="0" w:lineRule="atLeast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    </w:t>
      </w:r>
      <w:r w:rsidR="00176CDD" w:rsidRPr="001F538D">
        <w:rPr>
          <w:rFonts w:ascii="Times New Roman" w:hAnsi="Times New Roman"/>
          <w:szCs w:val="24"/>
          <w:lang w:val="uk-UA"/>
        </w:rPr>
        <w:t xml:space="preserve">Очікувана вартість </w:t>
      </w:r>
      <w:r w:rsidR="00176CDD">
        <w:rPr>
          <w:rFonts w:ascii="Times New Roman" w:hAnsi="Times New Roman"/>
          <w:szCs w:val="24"/>
          <w:lang w:val="uk-UA"/>
        </w:rPr>
        <w:t xml:space="preserve">предмету </w:t>
      </w:r>
      <w:r w:rsidR="00176CDD" w:rsidRPr="001F538D">
        <w:rPr>
          <w:rFonts w:ascii="Times New Roman" w:hAnsi="Times New Roman"/>
          <w:szCs w:val="24"/>
          <w:lang w:val="uk-UA"/>
        </w:rPr>
        <w:t>закупівлі визнач</w:t>
      </w:r>
      <w:r w:rsidR="00176CDD">
        <w:rPr>
          <w:rFonts w:ascii="Times New Roman" w:hAnsi="Times New Roman"/>
          <w:szCs w:val="24"/>
          <w:lang w:val="uk-UA"/>
        </w:rPr>
        <w:t>ена</w:t>
      </w:r>
      <w:r w:rsidR="00176CDD" w:rsidRPr="001F538D">
        <w:rPr>
          <w:rFonts w:ascii="Times New Roman" w:hAnsi="Times New Roman"/>
          <w:szCs w:val="24"/>
          <w:lang w:val="uk-UA"/>
        </w:rPr>
        <w:t xml:space="preserve"> відповідно до бюджетних призначень по </w:t>
      </w:r>
      <w:r w:rsidR="00176CDD" w:rsidRPr="00904371">
        <w:rPr>
          <w:rFonts w:ascii="Times New Roman" w:hAnsi="Times New Roman"/>
          <w:color w:val="000000"/>
          <w:szCs w:val="24"/>
          <w:lang w:val="uk-UA"/>
        </w:rPr>
        <w:t>КПКВК МБ 1516030 КЕКВ 2610 на 202</w:t>
      </w:r>
      <w:r w:rsidR="005152BC">
        <w:rPr>
          <w:rFonts w:ascii="Times New Roman" w:hAnsi="Times New Roman"/>
          <w:color w:val="000000"/>
          <w:szCs w:val="24"/>
          <w:lang w:val="uk-UA"/>
        </w:rPr>
        <w:t>6</w:t>
      </w:r>
      <w:r w:rsidR="00176CDD" w:rsidRPr="00904371">
        <w:rPr>
          <w:rFonts w:ascii="Times New Roman" w:hAnsi="Times New Roman"/>
          <w:color w:val="000000"/>
          <w:szCs w:val="24"/>
          <w:lang w:val="uk-UA"/>
        </w:rPr>
        <w:t xml:space="preserve"> рік</w:t>
      </w:r>
      <w:r w:rsidR="00176CDD">
        <w:rPr>
          <w:rFonts w:ascii="Times New Roman" w:hAnsi="Times New Roman"/>
          <w:szCs w:val="24"/>
          <w:lang w:val="uk-UA"/>
        </w:rPr>
        <w:t xml:space="preserve">, згідно </w:t>
      </w:r>
      <w:r w:rsidR="00176CDD" w:rsidRPr="00364042">
        <w:rPr>
          <w:rFonts w:ascii="Times New Roman" w:hAnsi="Times New Roman"/>
          <w:color w:val="000000"/>
          <w:szCs w:val="24"/>
          <w:lang w:val="uk-UA"/>
        </w:rPr>
        <w:t xml:space="preserve">рішення Переяславської міської ради від </w:t>
      </w:r>
      <w:r w:rsidR="005152BC" w:rsidRPr="005152BC">
        <w:rPr>
          <w:rFonts w:ascii="Times New Roman" w:hAnsi="Times New Roman"/>
          <w:color w:val="000000"/>
          <w:szCs w:val="24"/>
          <w:lang w:val="uk-UA"/>
        </w:rPr>
        <w:t xml:space="preserve">18.12.2025 № 01-114-VIII </w:t>
      </w:r>
      <w:r w:rsidR="00176CDD" w:rsidRPr="00364042">
        <w:rPr>
          <w:rFonts w:ascii="Times New Roman" w:hAnsi="Times New Roman"/>
          <w:color w:val="000000"/>
          <w:szCs w:val="24"/>
          <w:lang w:val="uk-UA"/>
        </w:rPr>
        <w:t>«Про бюджет Переяславської міської територіальної громади на 202</w:t>
      </w:r>
      <w:r w:rsidR="005152BC">
        <w:rPr>
          <w:rFonts w:ascii="Times New Roman" w:hAnsi="Times New Roman"/>
          <w:color w:val="000000"/>
          <w:szCs w:val="24"/>
          <w:lang w:val="uk-UA"/>
        </w:rPr>
        <w:t>6</w:t>
      </w:r>
      <w:r w:rsidR="00176CDD" w:rsidRPr="00364042">
        <w:rPr>
          <w:rFonts w:ascii="Times New Roman" w:hAnsi="Times New Roman"/>
          <w:color w:val="000000"/>
          <w:szCs w:val="24"/>
          <w:lang w:val="uk-UA"/>
        </w:rPr>
        <w:t xml:space="preserve"> рік»</w:t>
      </w:r>
      <w:r w:rsidR="00176CDD">
        <w:rPr>
          <w:rFonts w:ascii="Times New Roman" w:hAnsi="Times New Roman"/>
          <w:szCs w:val="24"/>
          <w:lang w:val="uk-UA"/>
        </w:rPr>
        <w:t>,</w:t>
      </w:r>
      <w:r w:rsidR="00020188" w:rsidRPr="00176CDD">
        <w:rPr>
          <w:rFonts w:ascii="Times New Roman" w:hAnsi="Times New Roman"/>
          <w:szCs w:val="24"/>
          <w:lang w:val="uk-UA"/>
        </w:rPr>
        <w:t xml:space="preserve"> </w:t>
      </w:r>
      <w:r w:rsidR="00E41D87" w:rsidRPr="00176CDD">
        <w:rPr>
          <w:rFonts w:ascii="Times New Roman" w:hAnsi="Times New Roman"/>
          <w:szCs w:val="24"/>
          <w:lang w:val="uk-UA"/>
        </w:rPr>
        <w:t xml:space="preserve">з </w:t>
      </w:r>
      <w:r w:rsidR="00135ECB" w:rsidRPr="00135ECB">
        <w:rPr>
          <w:rFonts w:ascii="Times New Roman" w:hAnsi="Times New Roman"/>
          <w:szCs w:val="24"/>
          <w:lang w:val="uk-UA"/>
        </w:rPr>
        <w:t>використ</w:t>
      </w:r>
      <w:r w:rsidR="00135ECB">
        <w:rPr>
          <w:rFonts w:ascii="Times New Roman" w:hAnsi="Times New Roman"/>
          <w:szCs w:val="24"/>
          <w:lang w:val="uk-UA"/>
        </w:rPr>
        <w:t>анням</w:t>
      </w:r>
      <w:r w:rsidR="00135ECB" w:rsidRPr="00135ECB">
        <w:rPr>
          <w:rFonts w:ascii="Times New Roman" w:hAnsi="Times New Roman"/>
          <w:szCs w:val="24"/>
          <w:lang w:val="uk-UA"/>
        </w:rPr>
        <w:t xml:space="preserve"> загальнодоступн</w:t>
      </w:r>
      <w:r w:rsidR="00135ECB">
        <w:rPr>
          <w:rFonts w:ascii="Times New Roman" w:hAnsi="Times New Roman"/>
          <w:szCs w:val="24"/>
          <w:lang w:val="uk-UA"/>
        </w:rPr>
        <w:t>ої</w:t>
      </w:r>
      <w:r w:rsidR="00135ECB" w:rsidRPr="00135ECB">
        <w:rPr>
          <w:rFonts w:ascii="Times New Roman" w:hAnsi="Times New Roman"/>
          <w:szCs w:val="24"/>
          <w:lang w:val="uk-UA"/>
        </w:rPr>
        <w:t xml:space="preserve"> інформаці</w:t>
      </w:r>
      <w:r w:rsidR="00135ECB">
        <w:rPr>
          <w:rFonts w:ascii="Times New Roman" w:hAnsi="Times New Roman"/>
          <w:szCs w:val="24"/>
          <w:lang w:val="uk-UA"/>
        </w:rPr>
        <w:t>ї</w:t>
      </w:r>
      <w:r w:rsidR="00135ECB" w:rsidRPr="00135ECB">
        <w:rPr>
          <w:rFonts w:ascii="Times New Roman" w:hAnsi="Times New Roman"/>
          <w:szCs w:val="24"/>
          <w:lang w:val="uk-UA"/>
        </w:rPr>
        <w:t xml:space="preserve"> щодо цін </w:t>
      </w:r>
      <w:r w:rsidR="00135ECB">
        <w:rPr>
          <w:rFonts w:ascii="Times New Roman" w:hAnsi="Times New Roman"/>
          <w:szCs w:val="24"/>
          <w:lang w:val="uk-UA"/>
        </w:rPr>
        <w:t>на</w:t>
      </w:r>
      <w:r w:rsidR="00135ECB" w:rsidRPr="00135ECB">
        <w:rPr>
          <w:rFonts w:ascii="Times New Roman" w:hAnsi="Times New Roman"/>
          <w:szCs w:val="24"/>
          <w:lang w:val="uk-UA"/>
        </w:rPr>
        <w:t xml:space="preserve"> асортимент </w:t>
      </w:r>
      <w:r w:rsidR="008919B8">
        <w:rPr>
          <w:rFonts w:ascii="Times New Roman" w:hAnsi="Times New Roman"/>
          <w:szCs w:val="24"/>
          <w:lang w:val="uk-UA"/>
        </w:rPr>
        <w:t>послуг</w:t>
      </w:r>
      <w:r w:rsidR="00135ECB" w:rsidRPr="00135ECB">
        <w:rPr>
          <w:rFonts w:ascii="Times New Roman" w:hAnsi="Times New Roman"/>
          <w:szCs w:val="24"/>
          <w:lang w:val="uk-UA"/>
        </w:rPr>
        <w:t>, як</w:t>
      </w:r>
      <w:r w:rsidR="00135ECB">
        <w:rPr>
          <w:rFonts w:ascii="Times New Roman" w:hAnsi="Times New Roman"/>
          <w:szCs w:val="24"/>
          <w:lang w:val="uk-UA"/>
        </w:rPr>
        <w:t>і</w:t>
      </w:r>
      <w:r w:rsidR="00135ECB" w:rsidRPr="00135ECB">
        <w:rPr>
          <w:rFonts w:ascii="Times New Roman" w:hAnsi="Times New Roman"/>
          <w:szCs w:val="24"/>
          <w:lang w:val="uk-UA"/>
        </w:rPr>
        <w:t xml:space="preserve"> міститься у відкритих джерелах</w:t>
      </w:r>
      <w:r w:rsidR="008919B8">
        <w:rPr>
          <w:rFonts w:ascii="Times New Roman" w:hAnsi="Times New Roman"/>
          <w:szCs w:val="24"/>
          <w:lang w:val="uk-UA"/>
        </w:rPr>
        <w:t xml:space="preserve">, </w:t>
      </w:r>
      <w:r w:rsidR="00135ECB" w:rsidRPr="00135ECB">
        <w:rPr>
          <w:rFonts w:ascii="Times New Roman" w:hAnsi="Times New Roman"/>
          <w:szCs w:val="24"/>
          <w:lang w:val="uk-UA"/>
        </w:rPr>
        <w:t xml:space="preserve">спеціалізованих торгівельних майданчиках, в електронній системі </w:t>
      </w:r>
      <w:proofErr w:type="spellStart"/>
      <w:r w:rsidR="00135ECB" w:rsidRPr="00135ECB">
        <w:rPr>
          <w:rFonts w:ascii="Times New Roman" w:hAnsi="Times New Roman"/>
          <w:szCs w:val="24"/>
          <w:lang w:val="uk-UA"/>
        </w:rPr>
        <w:t>закупівель</w:t>
      </w:r>
      <w:proofErr w:type="spellEnd"/>
      <w:r w:rsidR="00135ECB" w:rsidRPr="00135ECB">
        <w:rPr>
          <w:rFonts w:ascii="Times New Roman" w:hAnsi="Times New Roman"/>
          <w:szCs w:val="24"/>
          <w:lang w:val="uk-UA"/>
        </w:rPr>
        <w:t xml:space="preserve"> "</w:t>
      </w:r>
      <w:proofErr w:type="spellStart"/>
      <w:r w:rsidR="00135ECB" w:rsidRPr="00135ECB">
        <w:rPr>
          <w:rFonts w:ascii="Times New Roman" w:hAnsi="Times New Roman"/>
          <w:szCs w:val="24"/>
          <w:lang w:val="uk-UA"/>
        </w:rPr>
        <w:t>Prozorro</w:t>
      </w:r>
      <w:proofErr w:type="spellEnd"/>
      <w:r w:rsidR="00135ECB" w:rsidRPr="00135ECB">
        <w:rPr>
          <w:rFonts w:ascii="Times New Roman" w:hAnsi="Times New Roman"/>
          <w:szCs w:val="24"/>
          <w:lang w:val="uk-UA"/>
        </w:rPr>
        <w:t>"</w:t>
      </w:r>
      <w:r w:rsidR="009E4CB2">
        <w:rPr>
          <w:rFonts w:ascii="Times New Roman" w:hAnsi="Times New Roman"/>
          <w:szCs w:val="24"/>
          <w:lang w:val="uk-UA"/>
        </w:rPr>
        <w:t xml:space="preserve">. </w:t>
      </w:r>
      <w:r w:rsidR="009E4CB2" w:rsidRPr="009E4CB2">
        <w:rPr>
          <w:rFonts w:ascii="Times New Roman" w:hAnsi="Times New Roman"/>
          <w:szCs w:val="24"/>
          <w:lang w:val="uk-UA"/>
        </w:rPr>
        <w:t xml:space="preserve">Розрахунок очікуваної вартості </w:t>
      </w:r>
      <w:r w:rsidR="008919B8">
        <w:rPr>
          <w:rFonts w:ascii="Times New Roman" w:hAnsi="Times New Roman"/>
          <w:szCs w:val="24"/>
          <w:lang w:val="uk-UA"/>
        </w:rPr>
        <w:t>послуг стерилізації</w:t>
      </w:r>
      <w:r w:rsidR="00A425A1">
        <w:rPr>
          <w:rFonts w:ascii="Times New Roman" w:hAnsi="Times New Roman"/>
          <w:szCs w:val="24"/>
          <w:lang w:val="uk-UA"/>
        </w:rPr>
        <w:t xml:space="preserve"> </w:t>
      </w:r>
      <w:r w:rsidR="009E4CB2">
        <w:rPr>
          <w:rFonts w:ascii="Times New Roman" w:hAnsi="Times New Roman"/>
          <w:szCs w:val="24"/>
          <w:lang w:val="uk-UA"/>
        </w:rPr>
        <w:t>визначений шляхом м</w:t>
      </w:r>
      <w:r w:rsidR="009E4CB2" w:rsidRPr="009E4CB2">
        <w:rPr>
          <w:rFonts w:ascii="Times New Roman" w:hAnsi="Times New Roman"/>
          <w:szCs w:val="24"/>
          <w:lang w:val="uk-UA"/>
        </w:rPr>
        <w:t>етод</w:t>
      </w:r>
      <w:r w:rsidR="009E4CB2">
        <w:rPr>
          <w:rFonts w:ascii="Times New Roman" w:hAnsi="Times New Roman"/>
          <w:szCs w:val="24"/>
          <w:lang w:val="uk-UA"/>
        </w:rPr>
        <w:t>у</w:t>
      </w:r>
      <w:r w:rsidR="009E4CB2" w:rsidRPr="009E4CB2">
        <w:rPr>
          <w:rFonts w:ascii="Times New Roman" w:hAnsi="Times New Roman"/>
          <w:szCs w:val="24"/>
          <w:lang w:val="uk-UA"/>
        </w:rPr>
        <w:t xml:space="preserve"> порівняння ринкових цін</w:t>
      </w:r>
      <w:r w:rsidR="009E4CB2">
        <w:rPr>
          <w:rFonts w:ascii="Times New Roman" w:hAnsi="Times New Roman"/>
          <w:szCs w:val="24"/>
          <w:lang w:val="uk-UA"/>
        </w:rPr>
        <w:t xml:space="preserve">. </w:t>
      </w:r>
      <w:r w:rsidR="009E4CB2" w:rsidRPr="009E4CB2">
        <w:rPr>
          <w:rFonts w:ascii="Times New Roman" w:hAnsi="Times New Roman"/>
          <w:szCs w:val="24"/>
          <w:lang w:val="uk-UA"/>
        </w:rPr>
        <w:t>Під час збору інформації про ціну</w:t>
      </w:r>
      <w:r w:rsidR="009E4CB2">
        <w:rPr>
          <w:rFonts w:ascii="Times New Roman" w:hAnsi="Times New Roman"/>
          <w:szCs w:val="24"/>
          <w:lang w:val="uk-UA"/>
        </w:rPr>
        <w:t xml:space="preserve"> </w:t>
      </w:r>
      <w:r w:rsidR="009E4CB2" w:rsidRPr="009E4CB2">
        <w:rPr>
          <w:rFonts w:ascii="Times New Roman" w:hAnsi="Times New Roman"/>
          <w:szCs w:val="24"/>
          <w:lang w:val="uk-UA"/>
        </w:rPr>
        <w:t>врахова</w:t>
      </w:r>
      <w:r w:rsidR="009E4CB2">
        <w:rPr>
          <w:rFonts w:ascii="Times New Roman" w:hAnsi="Times New Roman"/>
          <w:szCs w:val="24"/>
          <w:lang w:val="uk-UA"/>
        </w:rPr>
        <w:t>но</w:t>
      </w:r>
      <w:r w:rsidR="009E4CB2" w:rsidRPr="009E4CB2">
        <w:rPr>
          <w:rFonts w:ascii="Times New Roman" w:hAnsi="Times New Roman"/>
          <w:szCs w:val="24"/>
          <w:lang w:val="uk-UA"/>
        </w:rPr>
        <w:t>, що умови запланован</w:t>
      </w:r>
      <w:r w:rsidR="009E4CB2">
        <w:rPr>
          <w:rFonts w:ascii="Times New Roman" w:hAnsi="Times New Roman"/>
          <w:szCs w:val="24"/>
          <w:lang w:val="uk-UA"/>
        </w:rPr>
        <w:t>ої</w:t>
      </w:r>
      <w:r w:rsidR="009E4CB2" w:rsidRPr="009E4CB2">
        <w:rPr>
          <w:rFonts w:ascii="Times New Roman" w:hAnsi="Times New Roman"/>
          <w:szCs w:val="24"/>
          <w:lang w:val="uk-UA"/>
        </w:rPr>
        <w:t xml:space="preserve"> закупів</w:t>
      </w:r>
      <w:r w:rsidR="009E4CB2">
        <w:rPr>
          <w:rFonts w:ascii="Times New Roman" w:hAnsi="Times New Roman"/>
          <w:szCs w:val="24"/>
          <w:lang w:val="uk-UA"/>
        </w:rPr>
        <w:t>лі</w:t>
      </w:r>
      <w:r w:rsidR="008919B8">
        <w:rPr>
          <w:rFonts w:ascii="Times New Roman" w:hAnsi="Times New Roman"/>
          <w:szCs w:val="24"/>
          <w:lang w:val="uk-UA"/>
        </w:rPr>
        <w:t xml:space="preserve">, </w:t>
      </w:r>
      <w:r w:rsidR="009E4CB2" w:rsidRPr="009E4CB2">
        <w:rPr>
          <w:rFonts w:ascii="Times New Roman" w:hAnsi="Times New Roman"/>
          <w:szCs w:val="24"/>
          <w:lang w:val="uk-UA"/>
        </w:rPr>
        <w:t xml:space="preserve">співставні з умовами </w:t>
      </w:r>
      <w:proofErr w:type="spellStart"/>
      <w:r w:rsidR="009E4CB2" w:rsidRPr="009E4CB2">
        <w:rPr>
          <w:rFonts w:ascii="Times New Roman" w:hAnsi="Times New Roman"/>
          <w:szCs w:val="24"/>
          <w:lang w:val="uk-UA"/>
        </w:rPr>
        <w:t>закупівель</w:t>
      </w:r>
      <w:proofErr w:type="spellEnd"/>
      <w:r w:rsidR="009E4CB2" w:rsidRPr="009E4CB2">
        <w:rPr>
          <w:rFonts w:ascii="Times New Roman" w:hAnsi="Times New Roman"/>
          <w:szCs w:val="24"/>
          <w:lang w:val="uk-UA"/>
        </w:rPr>
        <w:t>, інформація про які міститься у відкритих джерелах</w:t>
      </w:r>
      <w:r w:rsidR="009E4CB2">
        <w:rPr>
          <w:rFonts w:ascii="Times New Roman" w:hAnsi="Times New Roman"/>
          <w:szCs w:val="24"/>
          <w:lang w:val="uk-UA"/>
        </w:rPr>
        <w:t xml:space="preserve">, яка </w:t>
      </w:r>
      <w:r w:rsidR="009E4CB2" w:rsidRPr="009E4CB2">
        <w:rPr>
          <w:rFonts w:ascii="Times New Roman" w:hAnsi="Times New Roman"/>
          <w:szCs w:val="24"/>
          <w:lang w:val="uk-UA"/>
        </w:rPr>
        <w:t>використана для розрахунку очікуваної вартості</w:t>
      </w:r>
      <w:r w:rsidR="009E4CB2">
        <w:rPr>
          <w:rFonts w:ascii="Times New Roman" w:hAnsi="Times New Roman"/>
          <w:szCs w:val="24"/>
          <w:lang w:val="uk-UA"/>
        </w:rPr>
        <w:t xml:space="preserve"> закупівлі </w:t>
      </w:r>
      <w:r w:rsidR="008919B8" w:rsidRPr="003C1E52">
        <w:rPr>
          <w:rFonts w:ascii="Times New Roman" w:hAnsi="Times New Roman"/>
          <w:b/>
          <w:bCs/>
          <w:szCs w:val="24"/>
          <w:lang w:val="uk-UA"/>
        </w:rPr>
        <w:t>Послуги зі стерилізації безпритульних тварин</w:t>
      </w:r>
      <w:r w:rsidR="009E4CB2">
        <w:rPr>
          <w:rFonts w:ascii="Times New Roman" w:hAnsi="Times New Roman"/>
          <w:szCs w:val="24"/>
          <w:lang w:val="uk-UA"/>
        </w:rPr>
        <w:t>.</w:t>
      </w:r>
    </w:p>
    <w:sectPr w:rsidR="00020188" w:rsidRPr="00176CDD" w:rsidSect="00411321">
      <w:pgSz w:w="11906" w:h="16838"/>
      <w:pgMar w:top="709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1057"/>
    <w:multiLevelType w:val="multilevel"/>
    <w:tmpl w:val="3D902DAC"/>
    <w:lvl w:ilvl="0">
      <w:start w:val="1"/>
      <w:numFmt w:val="decimal"/>
      <w:lvlText w:val="%1."/>
      <w:lvlJc w:val="left"/>
      <w:pPr>
        <w:ind w:left="42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4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6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8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30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02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74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6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86" w:firstLine="6120"/>
      </w:pPr>
      <w:rPr>
        <w:u w:val="none"/>
      </w:rPr>
    </w:lvl>
  </w:abstractNum>
  <w:abstractNum w:abstractNumId="1" w15:restartNumberingAfterBreak="0">
    <w:nsid w:val="2A9A229A"/>
    <w:multiLevelType w:val="hybridMultilevel"/>
    <w:tmpl w:val="709CB036"/>
    <w:lvl w:ilvl="0" w:tplc="2292A0BA">
      <w:start w:val="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CF0192"/>
    <w:multiLevelType w:val="hybridMultilevel"/>
    <w:tmpl w:val="548E533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B8B2EF8"/>
    <w:multiLevelType w:val="hybridMultilevel"/>
    <w:tmpl w:val="D13A3C42"/>
    <w:lvl w:ilvl="0" w:tplc="B27CDA0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C386B"/>
    <w:multiLevelType w:val="hybridMultilevel"/>
    <w:tmpl w:val="725CA2FE"/>
    <w:lvl w:ilvl="0" w:tplc="9306C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818B5"/>
    <w:multiLevelType w:val="hybridMultilevel"/>
    <w:tmpl w:val="F1FC1218"/>
    <w:lvl w:ilvl="0" w:tplc="C3984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46373"/>
    <w:multiLevelType w:val="hybridMultilevel"/>
    <w:tmpl w:val="2BAA6B0A"/>
    <w:lvl w:ilvl="0" w:tplc="1FBA6B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642A4"/>
    <w:multiLevelType w:val="hybridMultilevel"/>
    <w:tmpl w:val="C2D615DE"/>
    <w:lvl w:ilvl="0" w:tplc="5B66EF16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A4C7F81"/>
    <w:multiLevelType w:val="hybridMultilevel"/>
    <w:tmpl w:val="9320B6D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2F1"/>
    <w:rsid w:val="00015F59"/>
    <w:rsid w:val="00020188"/>
    <w:rsid w:val="00086571"/>
    <w:rsid w:val="000A3580"/>
    <w:rsid w:val="000B5471"/>
    <w:rsid w:val="000C463D"/>
    <w:rsid w:val="000C5C60"/>
    <w:rsid w:val="000F2F2A"/>
    <w:rsid w:val="000F4CA2"/>
    <w:rsid w:val="001008E9"/>
    <w:rsid w:val="00111F2F"/>
    <w:rsid w:val="00116CC7"/>
    <w:rsid w:val="00135ECB"/>
    <w:rsid w:val="0014121A"/>
    <w:rsid w:val="00173D5A"/>
    <w:rsid w:val="00176CDD"/>
    <w:rsid w:val="00194E20"/>
    <w:rsid w:val="001E1AFD"/>
    <w:rsid w:val="002359D9"/>
    <w:rsid w:val="00245308"/>
    <w:rsid w:val="002556B2"/>
    <w:rsid w:val="00290D39"/>
    <w:rsid w:val="002951FE"/>
    <w:rsid w:val="002D28FE"/>
    <w:rsid w:val="002D70E2"/>
    <w:rsid w:val="0035234D"/>
    <w:rsid w:val="00383DB8"/>
    <w:rsid w:val="003C1E52"/>
    <w:rsid w:val="0040386C"/>
    <w:rsid w:val="004062F6"/>
    <w:rsid w:val="00411321"/>
    <w:rsid w:val="004478B5"/>
    <w:rsid w:val="004526C0"/>
    <w:rsid w:val="004650F0"/>
    <w:rsid w:val="004661D0"/>
    <w:rsid w:val="00484CEC"/>
    <w:rsid w:val="004B03B3"/>
    <w:rsid w:val="004B2FE2"/>
    <w:rsid w:val="004B352E"/>
    <w:rsid w:val="004F7735"/>
    <w:rsid w:val="005152BC"/>
    <w:rsid w:val="00563D25"/>
    <w:rsid w:val="0057352C"/>
    <w:rsid w:val="0058438E"/>
    <w:rsid w:val="005D0E49"/>
    <w:rsid w:val="005F2A48"/>
    <w:rsid w:val="005F7F45"/>
    <w:rsid w:val="00676D5D"/>
    <w:rsid w:val="00681284"/>
    <w:rsid w:val="0069000A"/>
    <w:rsid w:val="006B1333"/>
    <w:rsid w:val="00744571"/>
    <w:rsid w:val="007463F9"/>
    <w:rsid w:val="00761EAB"/>
    <w:rsid w:val="007745A9"/>
    <w:rsid w:val="00776AB6"/>
    <w:rsid w:val="007874A6"/>
    <w:rsid w:val="007A0D8B"/>
    <w:rsid w:val="007A1F88"/>
    <w:rsid w:val="007A6C5B"/>
    <w:rsid w:val="007B4685"/>
    <w:rsid w:val="007C2D62"/>
    <w:rsid w:val="007C3B2E"/>
    <w:rsid w:val="007F709B"/>
    <w:rsid w:val="008047C3"/>
    <w:rsid w:val="008277AE"/>
    <w:rsid w:val="008612F1"/>
    <w:rsid w:val="008674AA"/>
    <w:rsid w:val="00874268"/>
    <w:rsid w:val="008803BB"/>
    <w:rsid w:val="008919B8"/>
    <w:rsid w:val="008B4549"/>
    <w:rsid w:val="00955BCE"/>
    <w:rsid w:val="00960CE3"/>
    <w:rsid w:val="009B12E4"/>
    <w:rsid w:val="009C07E7"/>
    <w:rsid w:val="009C0D2D"/>
    <w:rsid w:val="009E4CB2"/>
    <w:rsid w:val="009F466A"/>
    <w:rsid w:val="00A25F6D"/>
    <w:rsid w:val="00A369A6"/>
    <w:rsid w:val="00A425A1"/>
    <w:rsid w:val="00A54C4B"/>
    <w:rsid w:val="00AB0D16"/>
    <w:rsid w:val="00B026FF"/>
    <w:rsid w:val="00B11AAF"/>
    <w:rsid w:val="00B415B3"/>
    <w:rsid w:val="00B870D1"/>
    <w:rsid w:val="00BA0FF8"/>
    <w:rsid w:val="00BB1A0F"/>
    <w:rsid w:val="00BD4FE6"/>
    <w:rsid w:val="00BD6EAC"/>
    <w:rsid w:val="00C04E72"/>
    <w:rsid w:val="00C16B6D"/>
    <w:rsid w:val="00C5119B"/>
    <w:rsid w:val="00CA466A"/>
    <w:rsid w:val="00D141DC"/>
    <w:rsid w:val="00D22379"/>
    <w:rsid w:val="00D57578"/>
    <w:rsid w:val="00DB63EE"/>
    <w:rsid w:val="00DC571B"/>
    <w:rsid w:val="00DD312A"/>
    <w:rsid w:val="00E03C1B"/>
    <w:rsid w:val="00E2269A"/>
    <w:rsid w:val="00E23F24"/>
    <w:rsid w:val="00E24D45"/>
    <w:rsid w:val="00E366B0"/>
    <w:rsid w:val="00E41D87"/>
    <w:rsid w:val="00E60089"/>
    <w:rsid w:val="00E72919"/>
    <w:rsid w:val="00E93338"/>
    <w:rsid w:val="00F146BB"/>
    <w:rsid w:val="00F2174F"/>
    <w:rsid w:val="00F63E0D"/>
    <w:rsid w:val="00FB454D"/>
    <w:rsid w:val="00FC1BD9"/>
    <w:rsid w:val="00FE19EB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D3C9"/>
  <w15:docId w15:val="{D5B4E661-8C3D-40E1-A5E1-CC0D062A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2F1"/>
  </w:style>
  <w:style w:type="paragraph" w:styleId="1">
    <w:name w:val="heading 1"/>
    <w:basedOn w:val="a"/>
    <w:next w:val="a"/>
    <w:link w:val="10"/>
    <w:qFormat/>
    <w:rsid w:val="008612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8612F1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styleId="a6">
    <w:name w:val="Emphasis"/>
    <w:basedOn w:val="a0"/>
    <w:uiPriority w:val="20"/>
    <w:qFormat/>
    <w:rsid w:val="008612F1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8612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1"/>
    <w:qFormat/>
    <w:rsid w:val="00BB1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s-apiid">
    <w:name w:val="js-apiid"/>
    <w:basedOn w:val="a0"/>
    <w:rsid w:val="009F466A"/>
  </w:style>
  <w:style w:type="character" w:customStyle="1" w:styleId="taxincluded">
    <w:name w:val="taxincluded"/>
    <w:basedOn w:val="a0"/>
    <w:rsid w:val="009F466A"/>
  </w:style>
  <w:style w:type="character" w:styleId="a8">
    <w:name w:val="Strong"/>
    <w:basedOn w:val="a0"/>
    <w:uiPriority w:val="22"/>
    <w:qFormat/>
    <w:rsid w:val="002359D9"/>
    <w:rPr>
      <w:b/>
      <w:bCs/>
    </w:rPr>
  </w:style>
  <w:style w:type="paragraph" w:customStyle="1" w:styleId="LO-normal">
    <w:name w:val="LO-normal"/>
    <w:qFormat/>
    <w:rsid w:val="004478B5"/>
    <w:pPr>
      <w:overflowPunct w:val="0"/>
      <w:spacing w:after="0"/>
    </w:pPr>
    <w:rPr>
      <w:rFonts w:ascii="Arial" w:eastAsia="Tahoma" w:hAnsi="Arial" w:cs="Arial"/>
      <w:color w:val="000000"/>
      <w:lang w:val="ru-RU" w:eastAsia="zh-CN"/>
    </w:rPr>
  </w:style>
  <w:style w:type="character" w:customStyle="1" w:styleId="st42">
    <w:name w:val="st42"/>
    <w:uiPriority w:val="99"/>
    <w:rsid w:val="00F63E0D"/>
    <w:rPr>
      <w:color w:val="000000"/>
    </w:rPr>
  </w:style>
  <w:style w:type="character" w:customStyle="1" w:styleId="a5">
    <w:name w:val="Без інтервалів Знак"/>
    <w:link w:val="a4"/>
    <w:uiPriority w:val="1"/>
    <w:rsid w:val="00176CDD"/>
    <w:rPr>
      <w:rFonts w:ascii="Arial" w:eastAsia="Times New Roman" w:hAnsi="Arial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3245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43</cp:revision>
  <dcterms:created xsi:type="dcterms:W3CDTF">2022-01-17T08:29:00Z</dcterms:created>
  <dcterms:modified xsi:type="dcterms:W3CDTF">2026-03-20T09:42:00Z</dcterms:modified>
</cp:coreProperties>
</file>