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5E72" w14:textId="77777777" w:rsidR="00824C76" w:rsidRPr="00824C76" w:rsidRDefault="00824C76" w:rsidP="00824C76">
      <w:pPr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24C76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Додаток 7</w:t>
      </w:r>
    </w:p>
    <w:p w14:paraId="363D16E7" w14:textId="77777777" w:rsidR="00824C76" w:rsidRPr="00824C76" w:rsidRDefault="00824C76" w:rsidP="00824C76">
      <w:pPr>
        <w:suppressAutoHyphens w:val="0"/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824C76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Програми</w:t>
      </w:r>
    </w:p>
    <w:p w14:paraId="60A46D70" w14:textId="77777777" w:rsidR="00824C76" w:rsidRPr="00824C76" w:rsidRDefault="00824C76" w:rsidP="00824C76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ПОРЯДОК</w:t>
      </w:r>
    </w:p>
    <w:p w14:paraId="1F075382" w14:textId="77777777" w:rsidR="00824C76" w:rsidRPr="00824C76" w:rsidRDefault="00824C76" w:rsidP="00824C76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відбору територіальних громад для надання субвенції з обласного бюджету на співфінансування придбання та встановлення сонячних електростанцій (СЕС) на об’єктах соціальної сфери</w:t>
      </w:r>
    </w:p>
    <w:p w14:paraId="771B5254" w14:textId="77777777" w:rsidR="00824C76" w:rsidRPr="00824C76" w:rsidRDefault="00824C76" w:rsidP="00824C76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</w:p>
    <w:p w14:paraId="6E3251E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 Загальні положення</w:t>
      </w:r>
    </w:p>
    <w:p w14:paraId="1B7C1E3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1.1. Цей Порядок визначає механізм відбору територіальних громад для надання субвенції з обласного бюджету на співфінансування придбання та встановлення сонячних електростанцій (СЕС) на об’єктах соціальної сфери (далі — Субвенція), а також порядок прийняття та опрацювання пропозицій територіальних громад, формування переліку об’єктів з урахуванням пріоритетності, організації відбору і погодження, перерахування коштів Субвенції та контролю цільового використання коштів.</w:t>
      </w:r>
    </w:p>
    <w:p w14:paraId="039F4EF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1.2. Метою надання Субвенції є:</w:t>
      </w:r>
    </w:p>
    <w:p w14:paraId="11A420D0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підвищення енергетичної стійкості та автономності об’єктів соціальної сфери;</w:t>
      </w:r>
    </w:p>
    <w:p w14:paraId="608B73F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зменшення залежності від зовнішнього електропостачання шляхом впровадження СЕС із накопиченням енергії та резервуванням.</w:t>
      </w:r>
    </w:p>
    <w:p w14:paraId="60EC077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1.3. Субвенція спрямовується на співфінансування витрат територіальних громад, пов’язаних із придбанням та встановленням СЕС на об’єктах соціальної сфери (далі — Об’єкти), за умови відповідності технічним вимогам, визначеним цим Порядком.</w:t>
      </w:r>
    </w:p>
    <w:p w14:paraId="59E675E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1.4. Головним розпорядником коштів обласного бюджету за цим напрямом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794628C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1.5. Координацію відбору територіальних громад, опрацювання поданих матеріалів та підготовку проєкту рішення про надання Субвенції здійснює Головний розпорядник коштів.</w:t>
      </w:r>
    </w:p>
    <w:p w14:paraId="1397894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2. Визначення термінів</w:t>
      </w:r>
    </w:p>
    <w:p w14:paraId="37793B2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40E0593C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Територіальна громада (далі — ТГ) — сільська, селищна, міська територіальна громада в межах Київської області, уповноважена подавати пропозиції щодо отримання Субвенції через виконавчий комітет відповідної ради.</w:t>
      </w:r>
    </w:p>
    <w:p w14:paraId="79CC207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Пропозиція ТГ — звернення/заявка виконавчого комітету ради ТГ з пакетом документів щодо надання Субвенції на конкретний Об’єкт.</w:t>
      </w:r>
    </w:p>
    <w:p w14:paraId="27078FD7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Сонячна електростанція (СЕС) — комплекс обладнання для виробництва електричної енергії з енергії сонячного випромінювання, що встановлюється на Об’єкті та/або на визначеному майданчику для забезпечення електроживлення Об’єкта.</w:t>
      </w:r>
    </w:p>
    <w:p w14:paraId="6825ED9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Система накопичення енергії (акумулятор(и)) — комплект обладнання (акумуляторні батареї та/або інші складові), призначений для накопичення та віддачі електричної енергії з метою забезпечення автономної/резервної роботи електроживлення Об’єкта.</w:t>
      </w:r>
    </w:p>
    <w:p w14:paraId="1217B1F0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proofErr w:type="spellStart"/>
      <w:r w:rsidRPr="00824C76">
        <w:rPr>
          <w:sz w:val="28"/>
          <w:szCs w:val="28"/>
          <w:lang w:val="uk-UA"/>
        </w:rPr>
        <w:lastRenderedPageBreak/>
        <w:t>Двонаправлений</w:t>
      </w:r>
      <w:proofErr w:type="spellEnd"/>
      <w:r w:rsidRPr="00824C76">
        <w:rPr>
          <w:sz w:val="28"/>
          <w:szCs w:val="28"/>
          <w:lang w:val="uk-UA"/>
        </w:rPr>
        <w:t xml:space="preserve"> лічильник — засіб обліку електричної енергії, характеристики якого дозволяють одночасно обліковувати обсяги відпущеної в електричну мережу та отриманої з електричної мережі електричної енергії.</w:t>
      </w:r>
    </w:p>
    <w:p w14:paraId="32120AF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Генератор — автономне обладнання резервного електроживлення (джерело електроенергії), яке використовується для забезпечення електропостачання Об’єкта у разі відсутності/обмеження зовнішнього електропостачання.</w:t>
      </w:r>
    </w:p>
    <w:p w14:paraId="793CA50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 xml:space="preserve">Обов’язкова комплектація проєкту СЕС — сукупність складових, що є обов’язковими для проєктів, які подаються на отримання Субвенції, а саме: СЕС, система накопичення енергії (акумулятор(и)), </w:t>
      </w:r>
      <w:proofErr w:type="spellStart"/>
      <w:r w:rsidRPr="00824C76">
        <w:rPr>
          <w:sz w:val="28"/>
          <w:szCs w:val="28"/>
          <w:lang w:val="uk-UA"/>
        </w:rPr>
        <w:t>двонаправлений</w:t>
      </w:r>
      <w:proofErr w:type="spellEnd"/>
      <w:r w:rsidRPr="00824C76">
        <w:rPr>
          <w:sz w:val="28"/>
          <w:szCs w:val="28"/>
          <w:lang w:val="uk-UA"/>
        </w:rPr>
        <w:t xml:space="preserve"> лічильник, генератор. Усі складові обов’язкової комплектації мають бути відображені у технічному описі та кошторисі Пропозиції ТГ.</w:t>
      </w:r>
    </w:p>
    <w:p w14:paraId="26953B25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Об’єкти соціальної сфери — об’єкти, що забезпечують надання соціально значущих послуг населенню (заклади освіти, охорони здоров’я, соціального захисту та інші), визначені ТГ у Пропозиції.</w:t>
      </w:r>
    </w:p>
    <w:p w14:paraId="460AB64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Вартість проєкту — загальна вартість придбання та встановлення СЕС на Об’єкті за Пропозицією ТГ, включно з обов’язковою комплектацією проєкту СЕС, підтверджена наданими ТГ розрахунками.</w:t>
      </w:r>
    </w:p>
    <w:p w14:paraId="2400D38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 Механізм подання та опрацювання пропозицій територіальних громад</w:t>
      </w:r>
    </w:p>
    <w:p w14:paraId="4EC0ED24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3.1. Для участі у відборі на отримання Субвенції виконавчий комітет відповідної ради ТГ подає до обласної державної адміністрації (обласної військової адміністрації) (далі — ОВА) на адресу Головного розпорядника коштів Пропозицію ТГ з пакетом документів, визначеним пунктом 3.5 цього Порядку.</w:t>
      </w:r>
    </w:p>
    <w:p w14:paraId="5A564FE6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3.2. Подані Пропозиції ТГ підлягають реєстрації Головним розпорядником коштів у день надходження або в перший робочий день після надходження.</w:t>
      </w:r>
    </w:p>
    <w:p w14:paraId="3C4411E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3.3. Головний розпорядник коштів здійснює попередню перевірку поданих матеріалів на комплектність і відповідність вимогам цього Порядку, у тому числі наявність у Пропозиції ТГ обов’язкової комплектації проєкту СЕС та її відображення в технічному описі і кошторисі.</w:t>
      </w:r>
    </w:p>
    <w:p w14:paraId="1A6ED116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3.4. Матеріали Пропозицій ТГ, що пройшли попередню перевірку, передаються Головним розпорядником коштів на розгляд Комісії ОВА.</w:t>
      </w:r>
    </w:p>
    <w:p w14:paraId="2858057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3.5. Для участі у відборі ТГ подає такий пакет документів:</w:t>
      </w:r>
    </w:p>
    <w:p w14:paraId="53D79E1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лист-звернення ТГ щодо надання Субвенції на конкретний Об’єкт;</w:t>
      </w:r>
    </w:p>
    <w:p w14:paraId="11D7F694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рішення про забезпечення співфінансування з місцевого бюджету із зазначенням джерел;</w:t>
      </w:r>
    </w:p>
    <w:p w14:paraId="251B3DAB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інформаційна довідка про Об’єкт соціальної сфери із зазначенням: адреси, балансоутримувача, функціонального призначення, орієнтовної кількості користувачів/отримувачів послуг (діти, пацієнти, персонал), потреб електроживлення Об’єкта та/або наявних проблем з електропостачанням (у тому числі частоти/тривалості відключень — за наявності такої інформації);</w:t>
      </w:r>
    </w:p>
    <w:p w14:paraId="2119A1EA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 xml:space="preserve">опис технічного рішення із зазначенням: параметрів СЕС (орієнтовна потужність), параметрів системи накопичення енергії (орієнтовна ємність), </w:t>
      </w:r>
      <w:proofErr w:type="spellStart"/>
      <w:r w:rsidRPr="00824C76">
        <w:rPr>
          <w:sz w:val="28"/>
          <w:szCs w:val="28"/>
          <w:lang w:val="uk-UA"/>
        </w:rPr>
        <w:t>двонаправленого</w:t>
      </w:r>
      <w:proofErr w:type="spellEnd"/>
      <w:r w:rsidRPr="00824C76">
        <w:rPr>
          <w:sz w:val="28"/>
          <w:szCs w:val="28"/>
          <w:lang w:val="uk-UA"/>
        </w:rPr>
        <w:t xml:space="preserve"> лічильника (наявність/потреба встановлення), генератора </w:t>
      </w:r>
      <w:r w:rsidRPr="00824C76">
        <w:rPr>
          <w:sz w:val="28"/>
          <w:szCs w:val="28"/>
          <w:lang w:val="uk-UA"/>
        </w:rPr>
        <w:lastRenderedPageBreak/>
        <w:t>(тип/орієнтовна потужність), а також необхідності/можливості автономної роботи Об’єкта;</w:t>
      </w:r>
    </w:p>
    <w:p w14:paraId="6F654AD9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 xml:space="preserve">кошторис/розрахунок вартості з відокремленням складових: СЕС, система накопичення енергії (акумулятор(и)), </w:t>
      </w:r>
      <w:proofErr w:type="spellStart"/>
      <w:r w:rsidRPr="00824C76">
        <w:rPr>
          <w:sz w:val="28"/>
          <w:szCs w:val="28"/>
          <w:lang w:val="uk-UA"/>
        </w:rPr>
        <w:t>двонаправлений</w:t>
      </w:r>
      <w:proofErr w:type="spellEnd"/>
      <w:r w:rsidRPr="00824C76">
        <w:rPr>
          <w:sz w:val="28"/>
          <w:szCs w:val="28"/>
          <w:lang w:val="uk-UA"/>
        </w:rPr>
        <w:t xml:space="preserve"> лічильник, генератор, монтаж/</w:t>
      </w:r>
      <w:proofErr w:type="spellStart"/>
      <w:r w:rsidRPr="00824C76">
        <w:rPr>
          <w:sz w:val="28"/>
          <w:szCs w:val="28"/>
          <w:lang w:val="uk-UA"/>
        </w:rPr>
        <w:t>пусконалагодження</w:t>
      </w:r>
      <w:proofErr w:type="spellEnd"/>
      <w:r w:rsidRPr="00824C76">
        <w:rPr>
          <w:sz w:val="28"/>
          <w:szCs w:val="28"/>
          <w:lang w:val="uk-UA"/>
        </w:rPr>
        <w:t xml:space="preserve"> та інші необхідні роботи/матеріали;</w:t>
      </w:r>
    </w:p>
    <w:p w14:paraId="1BF5538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 xml:space="preserve">документи, що підтверджують готовність/можливість реалізації Пропозиції: матеріали обстеження, </w:t>
      </w:r>
      <w:proofErr w:type="spellStart"/>
      <w:r w:rsidRPr="00824C76">
        <w:rPr>
          <w:sz w:val="28"/>
          <w:szCs w:val="28"/>
          <w:lang w:val="uk-UA"/>
        </w:rPr>
        <w:t>проектно</w:t>
      </w:r>
      <w:proofErr w:type="spellEnd"/>
      <w:r w:rsidRPr="00824C76">
        <w:rPr>
          <w:sz w:val="28"/>
          <w:szCs w:val="28"/>
          <w:lang w:val="uk-UA"/>
        </w:rPr>
        <w:t>-кошторисна документація, дефектний акт, інші матеріали, що підтверджують готовність до реалізації та можливість розміщення обладнання;</w:t>
      </w:r>
    </w:p>
    <w:p w14:paraId="2D9337A4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календарний план реалізації/строки виконання (у разі відсутності конкретних дат — із зазначенням етапів та орієнтовної тривалості).</w:t>
      </w:r>
    </w:p>
    <w:p w14:paraId="03CA6C3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3.6. Пропозиції ТГ, подані без обов’язкових документів, визначених пунктом 3.5 цього Порядку, або такі, що містять неповні/суперечливі дані, можуть бути залишені без розгляду до усунення недоліків. Про результати попередньої перевірки Головний розпорядник коштів інформує ТГ у порядку, визначеному пунктом 6.4 цього Порядку.</w:t>
      </w:r>
    </w:p>
    <w:p w14:paraId="07A73BF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4. Розмір субвенції та умови співфінансування</w:t>
      </w:r>
    </w:p>
    <w:p w14:paraId="35B3A04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4.1. Обсяг Субвенції на один Об’єкт становить 30 відсотків від вартості проєкту (придбання та встановлення СЕС з обов’язковою комплектацією), але не більше 300 000 (трьохсот тисяч) гривень.</w:t>
      </w:r>
    </w:p>
    <w:p w14:paraId="4719D80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4.2. Субвенція надається за умови забезпечення співфінансування з місцевого бюджету ТГ та/або інших джерел, не заборонених законодавством, у частині, що не покривається Субвенцією.</w:t>
      </w:r>
    </w:p>
    <w:p w14:paraId="458182D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4.3. Надання Субвенції здійснюється в межах бюджетних призначень, передбачених в обласному бюджеті на відповідний бюджетний період.</w:t>
      </w:r>
    </w:p>
    <w:p w14:paraId="1486884B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 Комісія ОВА та критерії пріоритетності відбору</w:t>
      </w:r>
    </w:p>
    <w:p w14:paraId="0827729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5.1. Для розгляду Пропозицій ТГ та формування переліку Об’єктів, на які пропонується надати Субвенцію, в ОВА утворюється комісія (далі — Комісія ОВА).</w:t>
      </w:r>
    </w:p>
    <w:p w14:paraId="6C63364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5.2. Комісія ОВА здійснює:</w:t>
      </w:r>
    </w:p>
    <w:p w14:paraId="35257F6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розгляд Пропозицій ТГ та оцінку їх відповідності вимогам цього Порядку;</w:t>
      </w:r>
    </w:p>
    <w:p w14:paraId="7A959550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застосування критеріїв пріоритетності;</w:t>
      </w:r>
    </w:p>
    <w:p w14:paraId="578E2AC7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формування переліку Об’єктів (із зазначенням ТГ та обсягів рекомендованої Субвенції в межах бюджетних призначень);</w:t>
      </w:r>
    </w:p>
    <w:p w14:paraId="040BF2E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підготовку пропозицій для Головного розпорядника коштів щодо проєкту рішення про надання Субвенції.</w:t>
      </w:r>
    </w:p>
    <w:p w14:paraId="597357B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5.3. Під час формування переліку Об’єктів Комісія ОВА застосовує такі критерії пріоритетності:</w:t>
      </w:r>
    </w:p>
    <w:p w14:paraId="38FA189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критичність Об’єкта соціальної сфери та наслідки відключень електроенергії для надання послуг населенню;</w:t>
      </w:r>
    </w:p>
    <w:p w14:paraId="6D8D7F3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потреба Об’єкта в автономній роботі;</w:t>
      </w:r>
    </w:p>
    <w:p w14:paraId="68573E1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кількість користувачів/отримувачів послуг (діти, пацієнти, персонал) та соціальна значущість Об’єкта;</w:t>
      </w:r>
    </w:p>
    <w:p w14:paraId="75F51C9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lastRenderedPageBreak/>
        <w:t>готовність до реалізації (наявність/стан підготовки технічних рішень, кошторисних матеріалів, визначеність місця розміщення обладнання, підтвердження співфінансування, реалістичність строків);</w:t>
      </w:r>
    </w:p>
    <w:p w14:paraId="5755D35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наявність резервування та здатність забезпечити безперервність електроживлення завдяки системі накопичення енергії та генератору;</w:t>
      </w:r>
    </w:p>
    <w:p w14:paraId="1298D95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технічні та безпекові ризики, у тому числі можливість експлуатації обладнання та забезпечення належних умов його розміщення.</w:t>
      </w:r>
    </w:p>
    <w:p w14:paraId="0CD5BAD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5.4. У разі потреби Комісія ОВА може рекомендувати ТГ уточнення/доповнення поданих матеріалів через Головного розпорядника коштів без зміни суті поданої Пропозиції.</w:t>
      </w:r>
    </w:p>
    <w:p w14:paraId="7E6C94DA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 Строки та етапи проведення відбору</w:t>
      </w:r>
    </w:p>
    <w:p w14:paraId="2697607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6.1. Пропозиції ТГ подаються протягом строку, визначеного оголошенням/листом Головного розпорядника коштів або іншим способом, доведеним до відома ТГ. У разі відсутності такого строку Пропозиції приймаються до кінця року в межах бюджетних призначень.</w:t>
      </w:r>
    </w:p>
    <w:p w14:paraId="185D6777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6.2. Попередня перевірка комплектності Пропозиції ТГ здійснюється Головним розпорядником коштів у строк до 10 робочих днів з дати реєстрації Пропозиції.</w:t>
      </w:r>
    </w:p>
    <w:p w14:paraId="525701B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6.3. Розгляд Пропозицій ТГ Комісією ОВА здійснюється у строк до 20 робочих днів з дати передачі матеріалів на розгляд Комісії ОВА.</w:t>
      </w:r>
    </w:p>
    <w:p w14:paraId="6EE9C03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6.4. Про результати попередньої перевірки та/або розгляду Комісією ОВА Головний розпорядник коштів повідомляє ТГ листом (та/або електронними засобами зв’язку) у строк до 5 робочих днів з дати прийняття відповідного рішення/оформлення протоколу.</w:t>
      </w:r>
    </w:p>
    <w:p w14:paraId="1880E08B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 Рішення та контроль</w:t>
      </w:r>
    </w:p>
    <w:p w14:paraId="2332FC0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7.1. Рішення Комісії ОВА оформлюються протоколом.</w:t>
      </w:r>
    </w:p>
    <w:p w14:paraId="75FC6A77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7.2. За результатами розгляду Комісією ОВА Головний розпорядник коштів готує проєкт рішення про надання Субвенції та перелік Об’єктів, на які пропонується спрямувати Субвенцію, з урахуванням бюджетних призначень.</w:t>
      </w:r>
    </w:p>
    <w:p w14:paraId="6F8D5F1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7.3. Перерахування коштів Субвенції здійснюється у межах бюджетних призначень відповідно до рішення про надання Субвенції.</w:t>
      </w:r>
    </w:p>
    <w:p w14:paraId="1D8541E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7.4. ТГ забезпечує:</w:t>
      </w:r>
    </w:p>
    <w:p w14:paraId="1C3D36D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цільове використання коштів Субвенції;</w:t>
      </w:r>
    </w:p>
    <w:p w14:paraId="736CE735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ведення обліку використаних коштів та збереження підтвердних документів;</w:t>
      </w:r>
    </w:p>
    <w:p w14:paraId="33EEE30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подання звітності/інформації про використання коштів Субвенції та стан реалізації заходів у порядку, визначеному Програмою та рішенням про надання Субвенції.</w:t>
      </w:r>
    </w:p>
    <w:p w14:paraId="6E893AD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7.5. Головний розпорядник коштів здійснює моніторинг реалізації заходів та перевірку цільового використання коштів Субвенції шляхом аналізу поданої звітності/інформації та, за потреби, отримання додаткових матеріалів від ТГ.</w:t>
      </w:r>
    </w:p>
    <w:p w14:paraId="21A44BF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trike/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 xml:space="preserve">7.6. У разі встановлення фактів нецільового використання коштів, подання недостовірних відомостей або невиконання умов надання Субвенції </w:t>
      </w:r>
      <w:r w:rsidRPr="00824C76">
        <w:rPr>
          <w:sz w:val="28"/>
          <w:szCs w:val="28"/>
          <w:lang w:val="uk-UA"/>
        </w:rPr>
        <w:lastRenderedPageBreak/>
        <w:t>ОВА може ініціювати зупинення подальшого фінансування та/або вимогу повернення коштів Субвенції в обсязі, що підлягає поверненню.</w:t>
      </w:r>
    </w:p>
    <w:p w14:paraId="13881817" w14:textId="77777777" w:rsidR="00AB6866" w:rsidRPr="00824C76" w:rsidRDefault="00AB6866"/>
    <w:sectPr w:rsidR="00AB6866" w:rsidRPr="00824C76" w:rsidSect="00824C76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7AB9" w14:textId="77777777" w:rsidR="00823712" w:rsidRDefault="00823712" w:rsidP="00824C76">
      <w:pPr>
        <w:spacing w:after="0" w:line="240" w:lineRule="auto"/>
      </w:pPr>
      <w:r>
        <w:separator/>
      </w:r>
    </w:p>
  </w:endnote>
  <w:endnote w:type="continuationSeparator" w:id="0">
    <w:p w14:paraId="5E3D9A27" w14:textId="77777777" w:rsidR="00823712" w:rsidRDefault="00823712" w:rsidP="0082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5C6C" w14:textId="77777777" w:rsidR="00823712" w:rsidRDefault="00823712" w:rsidP="00824C76">
      <w:pPr>
        <w:spacing w:after="0" w:line="240" w:lineRule="auto"/>
      </w:pPr>
      <w:r>
        <w:separator/>
      </w:r>
    </w:p>
  </w:footnote>
  <w:footnote w:type="continuationSeparator" w:id="0">
    <w:p w14:paraId="13FB9870" w14:textId="77777777" w:rsidR="00823712" w:rsidRDefault="00823712" w:rsidP="0082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169913"/>
      <w:docPartObj>
        <w:docPartGallery w:val="Page Numbers (Top of Page)"/>
        <w:docPartUnique/>
      </w:docPartObj>
    </w:sdtPr>
    <w:sdtContent>
      <w:p w14:paraId="35AC026E" w14:textId="6E2A0674" w:rsidR="00824C76" w:rsidRDefault="00824C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6186E56" w14:textId="77777777" w:rsidR="00824C76" w:rsidRDefault="00824C7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76"/>
    <w:rsid w:val="000E3105"/>
    <w:rsid w:val="00162701"/>
    <w:rsid w:val="001A1A96"/>
    <w:rsid w:val="00333D7D"/>
    <w:rsid w:val="003512DA"/>
    <w:rsid w:val="004A0B27"/>
    <w:rsid w:val="00652894"/>
    <w:rsid w:val="00823712"/>
    <w:rsid w:val="00824C76"/>
    <w:rsid w:val="00842275"/>
    <w:rsid w:val="00AB6866"/>
    <w:rsid w:val="00B1759E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80DF"/>
  <w15:chartTrackingRefBased/>
  <w15:docId w15:val="{4B7609F6-74C0-4499-B96B-E71F27A4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C76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2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C7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4C7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4C76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4C76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4C76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4C76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4C76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4C76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4C76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82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C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4C7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4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4C76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824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4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4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4C76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824C7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824C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824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4C76"/>
    <w:rPr>
      <w:rFonts w:ascii="Calibri" w:hAnsi="Calibri" w:cs="Calibri"/>
      <w:kern w:val="0"/>
      <w:lang w:eastAsia="zh-CN"/>
    </w:rPr>
  </w:style>
  <w:style w:type="paragraph" w:styleId="af">
    <w:name w:val="footer"/>
    <w:basedOn w:val="a"/>
    <w:link w:val="af0"/>
    <w:uiPriority w:val="99"/>
    <w:unhideWhenUsed/>
    <w:rsid w:val="00824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4C76"/>
    <w:rPr>
      <w:rFonts w:ascii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6596</Words>
  <Characters>3760</Characters>
  <Application>Microsoft Office Word</Application>
  <DocSecurity>0</DocSecurity>
  <Lines>31</Lines>
  <Paragraphs>20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Mykhailo Kipenko</cp:lastModifiedBy>
  <cp:revision>1</cp:revision>
  <dcterms:created xsi:type="dcterms:W3CDTF">2026-03-09T10:29:00Z</dcterms:created>
  <dcterms:modified xsi:type="dcterms:W3CDTF">2026-03-09T10:30:00Z</dcterms:modified>
</cp:coreProperties>
</file>