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E5C5" w14:textId="77777777" w:rsidR="00800CDF" w:rsidRPr="00800CDF" w:rsidRDefault="00800CDF" w:rsidP="00800CDF">
      <w:pPr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205897176"/>
      <w:r w:rsidRPr="00800CDF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Додаток 6</w:t>
      </w:r>
    </w:p>
    <w:p w14:paraId="2CB2A90F" w14:textId="77777777" w:rsidR="00800CDF" w:rsidRPr="00800CDF" w:rsidRDefault="00800CDF" w:rsidP="00800CDF">
      <w:pPr>
        <w:suppressAutoHyphens w:val="0"/>
        <w:spacing w:after="0" w:line="240" w:lineRule="auto"/>
        <w:ind w:left="7740" w:right="96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 w:rsidRPr="00800CDF">
        <w:rPr>
          <w:rFonts w:ascii="Times New Roman" w:eastAsia="Times New Roman" w:hAnsi="Times New Roman" w:cs="Times New Roman"/>
          <w:bCs/>
          <w:sz w:val="28"/>
          <w:szCs w:val="24"/>
          <w:lang w:val="ru-RU" w:eastAsia="ru-RU"/>
        </w:rPr>
        <w:t>до Програми</w:t>
      </w:r>
    </w:p>
    <w:bookmarkEnd w:id="0"/>
    <w:p w14:paraId="5D0C6CE7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0CD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</w:t>
      </w:r>
    </w:p>
    <w:p w14:paraId="40BACC8F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0CDF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відбору територіальних громад для надання субвенції з обласного бюджету на співфінансування придбання та встановлення блочно-модульних котелень на об’єктах соціальної сфери</w:t>
      </w:r>
    </w:p>
    <w:p w14:paraId="59466057" w14:textId="77777777" w:rsidR="00800CDF" w:rsidRPr="00800CDF" w:rsidRDefault="00800CDF" w:rsidP="00800CD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ar-SA"/>
        </w:rPr>
      </w:pPr>
    </w:p>
    <w:p w14:paraId="7BEAD40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 Загальні положення</w:t>
      </w:r>
    </w:p>
    <w:p w14:paraId="7AD4018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1.1. Цей Порядок визначає механізм відбору територіальних громад для надання субвенції з обласного бюджету на співфінансування придбання та встановлення блочно-модульних котелень на об’єктах соціальної сфери (далі — Субвенція), а також порядок прийняття та опрацювання пропозицій територіальних громад, формування переліку об’єктів з урахуванням пріоритетності, організації відбору і контролю за цільовим використанням коштів.</w:t>
      </w:r>
    </w:p>
    <w:p w14:paraId="324A954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1.2. Метою надання Субвенції є:</w:t>
      </w:r>
    </w:p>
    <w:p w14:paraId="724E3995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децентралізація теплопостачання та підвищення автономності об’єктів соціальної сфери;</w:t>
      </w:r>
    </w:p>
    <w:p w14:paraId="3E03F31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забезпечення переходу від електричного опалення (або зменшення залежності від нього) на інші джерела теплової енергії шляхом встановлення блочно-модульних котелень.</w:t>
      </w:r>
    </w:p>
    <w:p w14:paraId="38911A1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1.3. Субвенція спрямовується на співфінансування витрат територіальних громад, пов’язаних із придбанням та встановленням блочно-модульних котелень на об’єктах соціальної сфери (далі — Об’єкти).</w:t>
      </w:r>
    </w:p>
    <w:p w14:paraId="31A387D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1.4. Головним розпорядником коштів обласного бюджету за цим напрямом є департамент житлово-комунального господарства та енергоефективності Київської обласної державної адміністрації (Київської обласної військової адміністрації) (далі — Головний розпорядник коштів).</w:t>
      </w:r>
    </w:p>
    <w:p w14:paraId="699E99D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1.5. Координацію відбору територіальних громад, опрацювання поданих матеріалів та підготовку проєкту рішення про надання Субвенції здійснює Головний розпорядник.</w:t>
      </w:r>
    </w:p>
    <w:p w14:paraId="047FE3E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2. Визначення термінів</w:t>
      </w:r>
    </w:p>
    <w:p w14:paraId="3957143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2.1. У цьому Порядку терміни вживаються у таких значеннях:</w:t>
      </w:r>
    </w:p>
    <w:p w14:paraId="5CAF997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Територіальна громада (далі - ТГ) — сільська, селищна, міська територіальна громада в межах Київської області, уповноважена подавати пропозиції щодо отримання Субвенції через виконавчий комітет відповідної ради.</w:t>
      </w:r>
    </w:p>
    <w:p w14:paraId="57A00E8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Пропозиція ТГ — звернення/заявка виконавчого комітету ради ТГ з пакетом документів щодо надання Субвенції на конкретний Об’єкт.</w:t>
      </w:r>
    </w:p>
    <w:p w14:paraId="325A1AC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 xml:space="preserve">Блочно-модульна котельня — комплекс </w:t>
      </w:r>
      <w:proofErr w:type="spellStart"/>
      <w:r w:rsidRPr="00800CDF">
        <w:rPr>
          <w:sz w:val="28"/>
          <w:szCs w:val="28"/>
          <w:lang w:val="uk-UA"/>
        </w:rPr>
        <w:t>теплогенеруючого</w:t>
      </w:r>
      <w:proofErr w:type="spellEnd"/>
      <w:r w:rsidRPr="00800CDF">
        <w:rPr>
          <w:sz w:val="28"/>
          <w:szCs w:val="28"/>
          <w:lang w:val="uk-UA"/>
        </w:rPr>
        <w:t xml:space="preserve"> обладнання заводської/модульної готовності, призначений для виробництва теплової енергії для потреб Об’єкта, що встановлюється на визначеному майданчику та вводиться в експлуатацію у встановленому порядку.</w:t>
      </w:r>
    </w:p>
    <w:p w14:paraId="45C1ED9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Об’єкти соціальної сфери — об’єкти, що забезпечують надання соціально значущих послуг населенню (заклади освіти, охорони здоров’я, соціального захисту та інші), визначені ТГ у Пропозиції.</w:t>
      </w:r>
    </w:p>
    <w:p w14:paraId="3BC423D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lastRenderedPageBreak/>
        <w:t>Вартість проєкту — загальна вартість придбання та встановлення блочно-модульної котельні на Об’єкті за Пропозицією ТГ, підтверджена наданими ТГ розрахунками.</w:t>
      </w:r>
    </w:p>
    <w:p w14:paraId="6E9F466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 Механізм подання та опрацювання пропозицій територіальних громад</w:t>
      </w:r>
    </w:p>
    <w:p w14:paraId="6F5D5ED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3.1. Для участі у відборі на отримання Субвенції виконавчий комітет відповідної ради ТГ подає до обласної державної адміністрації (обласної військової адміністрації) (далі — ОВА) на адресу Головного розпорядника Пропозицію ТГ з пакетом документів, визначеним пунктом 3.5 цього Порядку.</w:t>
      </w:r>
    </w:p>
    <w:p w14:paraId="6C0D6F5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3.2. Подані Пропозиції ТГ підлягають реєстрації Головним розпорядником у день надходження або в перший робочий день після надходження.</w:t>
      </w:r>
    </w:p>
    <w:p w14:paraId="5A75772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3.3. Головний розпорядник здійснює попередню перевірку поданих матеріалів на комплектність і відповідність вимогам цього Порядку.</w:t>
      </w:r>
    </w:p>
    <w:p w14:paraId="676A156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3.4. Матеріали Пропозицій ТГ, що пройшли попередню перевірку, передаються Головним розпорядником на розгляд Комісії ОВА.</w:t>
      </w:r>
    </w:p>
    <w:p w14:paraId="6BC4B7C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3.5. Для участі у відборі ТГ подає такий пакет документів:</w:t>
      </w:r>
    </w:p>
    <w:p w14:paraId="74CB74E8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лист-звернення/заявка ТГ щодо надання Субвенції на конкретний Об’єкт;</w:t>
      </w:r>
    </w:p>
    <w:p w14:paraId="3C50CED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рішення про забезпечення співфінансування з місцевого бюджету із зазначенням джерел;</w:t>
      </w:r>
    </w:p>
    <w:p w14:paraId="031C9B07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 xml:space="preserve">інформаційна довідка про Об’єкт соціальної сфери із зазначенням: адреси, балансоутримувача, функціонального призначення, орієнтовної кількості користувачів/отримувачів послуг, поточного стану системи теплопостачання (у </w:t>
      </w:r>
      <w:proofErr w:type="spellStart"/>
      <w:r w:rsidRPr="00800CDF">
        <w:rPr>
          <w:sz w:val="28"/>
          <w:szCs w:val="28"/>
          <w:lang w:val="uk-UA"/>
        </w:rPr>
        <w:t>т.ч</w:t>
      </w:r>
      <w:proofErr w:type="spellEnd"/>
      <w:r w:rsidRPr="00800CDF">
        <w:rPr>
          <w:sz w:val="28"/>
          <w:szCs w:val="28"/>
          <w:lang w:val="uk-UA"/>
        </w:rPr>
        <w:t>. використання електричного опалення/</w:t>
      </w:r>
      <w:proofErr w:type="spellStart"/>
      <w:r w:rsidRPr="00800CDF">
        <w:rPr>
          <w:sz w:val="28"/>
          <w:szCs w:val="28"/>
          <w:lang w:val="uk-UA"/>
        </w:rPr>
        <w:t>електрокотлів</w:t>
      </w:r>
      <w:proofErr w:type="spellEnd"/>
      <w:r w:rsidRPr="00800CDF">
        <w:rPr>
          <w:sz w:val="28"/>
          <w:szCs w:val="28"/>
          <w:lang w:val="uk-UA"/>
        </w:rPr>
        <w:t>);</w:t>
      </w:r>
    </w:p>
    <w:p w14:paraId="7B740B7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опис технічного рішення із зазначенням: типу блочно-модульної котельні, орієнтовної потужності, основних параметрів, необхідності/можливості автономної роботи, а також орієнтовної/кошторисної вартості придбання та встановлення;</w:t>
      </w:r>
    </w:p>
    <w:p w14:paraId="2DE9EA9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 xml:space="preserve">документи, що підтверджують готовність/можливість реалізації Пропозиції: </w:t>
      </w:r>
      <w:proofErr w:type="spellStart"/>
      <w:r w:rsidRPr="00800CDF">
        <w:rPr>
          <w:sz w:val="28"/>
          <w:szCs w:val="28"/>
          <w:lang w:val="uk-UA"/>
        </w:rPr>
        <w:t>проектно</w:t>
      </w:r>
      <w:proofErr w:type="spellEnd"/>
      <w:r w:rsidRPr="00800CDF">
        <w:rPr>
          <w:sz w:val="28"/>
          <w:szCs w:val="28"/>
          <w:lang w:val="uk-UA"/>
        </w:rPr>
        <w:t>-кошторисна документація, дефектний акт, матеріали обстеження,  інші матеріали, що підтверджують готовність до реалізації та можливість розміщення обладнання;</w:t>
      </w:r>
    </w:p>
    <w:p w14:paraId="01D8AEF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календарний план реалізації/строки виконання (у разі відсутності конкретних дат — із зазначенням етапів та орієнтовної тривалості).</w:t>
      </w:r>
    </w:p>
    <w:p w14:paraId="70BC2D7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3.6. Пропозиції ТГ, подані без обов’язкових документів, визначених пунктом 3.5 цього Порядку, або такі, що містять неповні/суперечливі дані, можуть бути залишені без розгляду до усунення недоліків. Про результати попередньої перевірки Головний розпорядник інформує ТГ у порядку, визначеному пунктом 6.4 цього Порядку.</w:t>
      </w:r>
    </w:p>
    <w:p w14:paraId="7E2906D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 Розмір субвенції та умови співфінансування</w:t>
      </w:r>
    </w:p>
    <w:p w14:paraId="06F9854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4.1. Обсяг Субвенції на один Об’єкт становить 30 відсотків від вартості проєкту (придбання та встановлення блочно-модульної котельні), але не більше 1 500 000 (одного мільйона п’ятисот тисяч) гривень.</w:t>
      </w:r>
    </w:p>
    <w:p w14:paraId="2D7B072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lastRenderedPageBreak/>
        <w:t>4.2. Субвенція надається за умови забезпечення співфінансування з місцевого бюджету ТГ та/або інших джерел, не заборонених законодавством, у частині, що не покривається Субвенцією.</w:t>
      </w:r>
    </w:p>
    <w:p w14:paraId="63CD4D0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4.3. Надання Субвенції здійснюється в межах бюджетних призначень, передбачених в обласному бюджеті на відповідний бюджетний період.</w:t>
      </w:r>
    </w:p>
    <w:p w14:paraId="561045A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 Комісія ОВА та критерії пріоритетності відбору</w:t>
      </w:r>
    </w:p>
    <w:p w14:paraId="494C0DA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5.1. Для розгляду Пропозицій ТГ та формування переліку Об’єктів, на які пропонується надати Субвенцію, в ОВА утворюється комісія (далі — Комісія ОВА).</w:t>
      </w:r>
    </w:p>
    <w:p w14:paraId="05B4832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5.2. Комісія ОВА здійснює:</w:t>
      </w:r>
    </w:p>
    <w:p w14:paraId="7919486F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розгляд Пропозицій ТГ та оцінку їх відповідності вимогам цього Порядку;</w:t>
      </w:r>
    </w:p>
    <w:p w14:paraId="59FCCA8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застосування критеріїв пріоритетності;</w:t>
      </w:r>
    </w:p>
    <w:p w14:paraId="51F26ECA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формування переліку Об’єктів (із зазначенням ТГ та обсягів рекомендованої Субвенції в межах бюджетних призначень);</w:t>
      </w:r>
    </w:p>
    <w:p w14:paraId="5C911BB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підготовку пропозицій для Головного розпорядника щодо проєкту рішення про надання Субвенції.</w:t>
      </w:r>
    </w:p>
    <w:p w14:paraId="45E2122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5.3. Під час формування переліку Об’єктів Комісія ОВА застосовує такі критерії пріоритетності:</w:t>
      </w:r>
    </w:p>
    <w:p w14:paraId="0CDE481E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наявність ризику припинення/обмеження теплопостачання Об’єкта та критичність наслідків такого припинення;</w:t>
      </w:r>
    </w:p>
    <w:p w14:paraId="46816F5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використання на Об’єкті електричного опалення/</w:t>
      </w:r>
      <w:proofErr w:type="spellStart"/>
      <w:r w:rsidRPr="00800CDF">
        <w:rPr>
          <w:sz w:val="28"/>
          <w:szCs w:val="28"/>
          <w:lang w:val="uk-UA"/>
        </w:rPr>
        <w:t>електрокотлів</w:t>
      </w:r>
      <w:proofErr w:type="spellEnd"/>
      <w:r w:rsidRPr="00800CDF">
        <w:rPr>
          <w:sz w:val="28"/>
          <w:szCs w:val="28"/>
          <w:lang w:val="uk-UA"/>
        </w:rPr>
        <w:t xml:space="preserve"> та потреба переходу на інші джерела тепла, зменшення залежності від електропостачання;</w:t>
      </w:r>
    </w:p>
    <w:p w14:paraId="6E99C255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кількість користувачів/отримувачів послуг (діти, пацієнти, персонал) та соціальна значущість Об’єкта;</w:t>
      </w:r>
    </w:p>
    <w:p w14:paraId="1BC133A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 xml:space="preserve">готовність до реалізації (наявність/стан підготовки технічних рішень, матеріалів обстеження, </w:t>
      </w:r>
      <w:proofErr w:type="spellStart"/>
      <w:r w:rsidRPr="00800CDF">
        <w:rPr>
          <w:sz w:val="28"/>
          <w:szCs w:val="28"/>
          <w:lang w:val="uk-UA"/>
        </w:rPr>
        <w:t>проектних</w:t>
      </w:r>
      <w:proofErr w:type="spellEnd"/>
      <w:r w:rsidRPr="00800CDF">
        <w:rPr>
          <w:sz w:val="28"/>
          <w:szCs w:val="28"/>
          <w:lang w:val="uk-UA"/>
        </w:rPr>
        <w:t>/кошторисних матеріалів — за наявності, визначеність майданчика під розміщення, підтвердження співфінансування, реалістичність строків);</w:t>
      </w:r>
    </w:p>
    <w:p w14:paraId="5DE6B853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безпекові та технічні ризики, у тому числі можливість автономної роботи та стабільність забезпечення теплопостачання.</w:t>
      </w:r>
    </w:p>
    <w:p w14:paraId="773A264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5.4. У разі потреби Комісія ОВА може рекомендувати ТГ уточнення/доповнення поданих матеріалів через Головного розпорядника без зміни суті поданої Пропозиції.</w:t>
      </w:r>
    </w:p>
    <w:p w14:paraId="0CDAB79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 Строки та етапи проведення відбору</w:t>
      </w:r>
    </w:p>
    <w:p w14:paraId="3DC1572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6.1. Пропозиції ТГ подаються протягом строку, визначеного оголошенням/листом Головного розпорядника або іншим способом, доведеним до відома ТГ. У разі відсутності такого строку Пропозиції приймаються до кінця року в межах бюджетних призначень.</w:t>
      </w:r>
    </w:p>
    <w:p w14:paraId="3D3910F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6.2. Попередня перевірка комплектності Пропозиції ТГ здійснюється Головним розпорядником у строк до 10 робочих днів з дати реєстрації Пропозиції.</w:t>
      </w:r>
    </w:p>
    <w:p w14:paraId="514D9EFD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6.3. Розгляд Пропозицій ТГ Комісією ОВА здійснюється у строк до 20 робочих днів з дати передачі матеріалів на розгляд Комісії ОВА.</w:t>
      </w:r>
    </w:p>
    <w:p w14:paraId="29D92B06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lastRenderedPageBreak/>
        <w:t>6.4. Про результати попередньої перевірки та/або розгляду Комісією ОВА Головний розпорядник повідомляє ТГ листом (та/або електронними засобами зв’язку) у строк до 5 робочих днів з дати прийняття відповідного рішення/оформлення протоколу.</w:t>
      </w:r>
    </w:p>
    <w:p w14:paraId="0B545A3A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 Рішення та контроль</w:t>
      </w:r>
    </w:p>
    <w:p w14:paraId="3E161CC4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7.1. Рішення Комісії ОВА оформлюються протоколом.</w:t>
      </w:r>
    </w:p>
    <w:p w14:paraId="715A5FC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7.2. За результатами розгляду Комісією ОВА Головний розпорядник готує проєкт рішення про надання Субвенції та перелік Об’єктів, на які пропонується спрямувати Субвенцію, з урахуванням бюджетних призначень.</w:t>
      </w:r>
    </w:p>
    <w:p w14:paraId="3319F1B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7.3. Перерахування коштів Субвенції здійснюється у межах бюджетних призначень відповідно до рішення про надання Субвенції.</w:t>
      </w:r>
    </w:p>
    <w:p w14:paraId="055B0D2B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7.4. ТГ забезпечує:</w:t>
      </w:r>
    </w:p>
    <w:p w14:paraId="1114DEA0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цільове використання коштів Субвенції;</w:t>
      </w:r>
    </w:p>
    <w:p w14:paraId="68AD55D9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ведення обліку використаних коштів та збереження підтвердних документів;</w:t>
      </w:r>
    </w:p>
    <w:p w14:paraId="5CC348BC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подання звітності/інформації про використання коштів Субвенції та стан реалізації заходів у порядку, визначеному Програмою та рішенням про надання Субвенції.</w:t>
      </w:r>
    </w:p>
    <w:p w14:paraId="4ACA4B82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7.5. Головний розпорядник здійснює моніторинг реалізації заходів та перевірку цільового використання коштів Субвенції шляхом аналізу поданої звітності/інформації та, за потреби, отримання додаткових матеріалів від ТГ.</w:t>
      </w:r>
    </w:p>
    <w:p w14:paraId="4DBF93B1" w14:textId="77777777" w:rsidR="00800CDF" w:rsidRPr="00800CDF" w:rsidRDefault="00800CDF" w:rsidP="00800CDF">
      <w:pPr>
        <w:pStyle w:val="ac"/>
        <w:spacing w:before="0" w:after="0"/>
        <w:ind w:firstLine="851"/>
        <w:jc w:val="both"/>
        <w:rPr>
          <w:sz w:val="28"/>
          <w:szCs w:val="28"/>
          <w:lang w:val="uk-UA"/>
        </w:rPr>
      </w:pPr>
      <w:r w:rsidRPr="00800CDF">
        <w:rPr>
          <w:sz w:val="28"/>
          <w:szCs w:val="28"/>
          <w:lang w:val="uk-UA"/>
        </w:rPr>
        <w:t>7.6. У разі встановлення фактів нецільового використання коштів, подання недостовірних відомостей або невиконання умов надання Субвенції ОВА може ініціювати зупинення подальшого фінансування та/або вимогу повернення коштів Субвенції в обсязі, що підлягає поверненню.</w:t>
      </w:r>
    </w:p>
    <w:p w14:paraId="79185D49" w14:textId="77777777" w:rsidR="00AB6866" w:rsidRPr="00800CDF" w:rsidRDefault="00AB6866"/>
    <w:sectPr w:rsidR="00AB6866" w:rsidRPr="00800CDF" w:rsidSect="00800CDF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11A5" w14:textId="77777777" w:rsidR="00C933B2" w:rsidRDefault="00C933B2" w:rsidP="00800CDF">
      <w:pPr>
        <w:spacing w:after="0" w:line="240" w:lineRule="auto"/>
      </w:pPr>
      <w:r>
        <w:separator/>
      </w:r>
    </w:p>
  </w:endnote>
  <w:endnote w:type="continuationSeparator" w:id="0">
    <w:p w14:paraId="6E9F524A" w14:textId="77777777" w:rsidR="00C933B2" w:rsidRDefault="00C933B2" w:rsidP="0080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14A7" w14:textId="77777777" w:rsidR="00C933B2" w:rsidRDefault="00C933B2" w:rsidP="00800CDF">
      <w:pPr>
        <w:spacing w:after="0" w:line="240" w:lineRule="auto"/>
      </w:pPr>
      <w:r>
        <w:separator/>
      </w:r>
    </w:p>
  </w:footnote>
  <w:footnote w:type="continuationSeparator" w:id="0">
    <w:p w14:paraId="2DD043FD" w14:textId="77777777" w:rsidR="00C933B2" w:rsidRDefault="00C933B2" w:rsidP="0080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4685182"/>
      <w:docPartObj>
        <w:docPartGallery w:val="Page Numbers (Top of Page)"/>
        <w:docPartUnique/>
      </w:docPartObj>
    </w:sdtPr>
    <w:sdtContent>
      <w:p w14:paraId="57879BE4" w14:textId="7205556D" w:rsidR="00800CDF" w:rsidRDefault="00800CD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A80E506" w14:textId="77777777" w:rsidR="00800CDF" w:rsidRDefault="00800CD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DF"/>
    <w:rsid w:val="000E3105"/>
    <w:rsid w:val="00162701"/>
    <w:rsid w:val="001A1A96"/>
    <w:rsid w:val="00333D7D"/>
    <w:rsid w:val="003512DA"/>
    <w:rsid w:val="004A0B27"/>
    <w:rsid w:val="00652894"/>
    <w:rsid w:val="00800CDF"/>
    <w:rsid w:val="00842275"/>
    <w:rsid w:val="00AB6866"/>
    <w:rsid w:val="00B1759E"/>
    <w:rsid w:val="00C933B2"/>
    <w:rsid w:val="00E5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5025"/>
  <w15:chartTrackingRefBased/>
  <w15:docId w15:val="{01A88A92-C5AB-469C-A594-A5FFDE52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DF"/>
    <w:pPr>
      <w:suppressAutoHyphens/>
      <w:spacing w:after="200" w:line="276" w:lineRule="auto"/>
    </w:pPr>
    <w:rPr>
      <w:rFonts w:ascii="Calibri" w:hAnsi="Calibri" w:cs="Calibri"/>
      <w:kern w:val="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800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C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C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C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C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C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C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C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CD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C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CD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CDF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00CDF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00CDF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00CDF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00CDF"/>
    <w:rPr>
      <w:rFonts w:eastAsiaTheme="majorEastAsia" w:cstheme="majorBidi"/>
      <w:i/>
      <w:iCs/>
      <w:color w:val="272727" w:themeColor="text1" w:themeTint="D8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00CDF"/>
    <w:rPr>
      <w:rFonts w:eastAsiaTheme="majorEastAsia" w:cstheme="majorBidi"/>
      <w:color w:val="272727" w:themeColor="text1" w:themeTint="D8"/>
      <w:kern w:val="0"/>
      <w:sz w:val="28"/>
    </w:rPr>
  </w:style>
  <w:style w:type="paragraph" w:styleId="a3">
    <w:name w:val="Title"/>
    <w:basedOn w:val="a"/>
    <w:next w:val="a"/>
    <w:link w:val="a4"/>
    <w:uiPriority w:val="10"/>
    <w:qFormat/>
    <w:rsid w:val="00800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C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CD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C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CDF"/>
    <w:rPr>
      <w:rFonts w:ascii="Times New Roman" w:hAnsi="Times New Roman" w:cs="Times New Roman"/>
      <w:i/>
      <w:iCs/>
      <w:color w:val="404040" w:themeColor="text1" w:themeTint="BF"/>
      <w:kern w:val="0"/>
      <w:sz w:val="28"/>
    </w:rPr>
  </w:style>
  <w:style w:type="paragraph" w:styleId="a7">
    <w:name w:val="List Paragraph"/>
    <w:basedOn w:val="a"/>
    <w:uiPriority w:val="34"/>
    <w:qFormat/>
    <w:rsid w:val="00800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C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CDF"/>
    <w:rPr>
      <w:rFonts w:ascii="Times New Roman" w:hAnsi="Times New Roman" w:cs="Times New Roman"/>
      <w:i/>
      <w:iCs/>
      <w:color w:val="2F5496" w:themeColor="accent1" w:themeShade="BF"/>
      <w:kern w:val="0"/>
      <w:sz w:val="28"/>
    </w:rPr>
  </w:style>
  <w:style w:type="character" w:styleId="ab">
    <w:name w:val="Intense Reference"/>
    <w:basedOn w:val="a0"/>
    <w:uiPriority w:val="32"/>
    <w:qFormat/>
    <w:rsid w:val="00800CD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rsid w:val="00800CD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header"/>
    <w:basedOn w:val="a"/>
    <w:link w:val="ae"/>
    <w:uiPriority w:val="99"/>
    <w:unhideWhenUsed/>
    <w:rsid w:val="00800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00CDF"/>
    <w:rPr>
      <w:rFonts w:ascii="Calibri" w:hAnsi="Calibri" w:cs="Calibri"/>
      <w:kern w:val="0"/>
      <w:lang w:eastAsia="zh-CN"/>
    </w:rPr>
  </w:style>
  <w:style w:type="paragraph" w:styleId="af">
    <w:name w:val="footer"/>
    <w:basedOn w:val="a"/>
    <w:link w:val="af0"/>
    <w:uiPriority w:val="99"/>
    <w:unhideWhenUsed/>
    <w:rsid w:val="00800CD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00CDF"/>
    <w:rPr>
      <w:rFonts w:ascii="Calibri" w:hAnsi="Calibri" w:cs="Calibri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5591</Words>
  <Characters>3188</Characters>
  <Application>Microsoft Office Word</Application>
  <DocSecurity>0</DocSecurity>
  <Lines>26</Lines>
  <Paragraphs>17</Paragraphs>
  <ScaleCrop>false</ScaleCrop>
  <Company/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Kipenko</dc:creator>
  <cp:keywords/>
  <dc:description/>
  <cp:lastModifiedBy>Mykhailo Kipenko</cp:lastModifiedBy>
  <cp:revision>1</cp:revision>
  <dcterms:created xsi:type="dcterms:W3CDTF">2026-03-09T10:27:00Z</dcterms:created>
  <dcterms:modified xsi:type="dcterms:W3CDTF">2026-03-09T10:29:00Z</dcterms:modified>
</cp:coreProperties>
</file>