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7" w:rsidRPr="00F270EE" w:rsidRDefault="00DC571B" w:rsidP="008D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EE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247D3C" w:rsidRPr="00247D3C" w:rsidRDefault="00247D3C" w:rsidP="00247D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D3C">
        <w:rPr>
          <w:rFonts w:ascii="Times New Roman" w:hAnsi="Times New Roman"/>
          <w:b/>
          <w:bCs/>
          <w:sz w:val="28"/>
          <w:szCs w:val="28"/>
        </w:rPr>
        <w:t xml:space="preserve">ПРИЧІП ДЛЯ ПЕРЕВЕЗЕННЯ СПЕЦТЕХНІКИ </w:t>
      </w:r>
    </w:p>
    <w:p w:rsidR="00411321" w:rsidRPr="00F270EE" w:rsidRDefault="00247D3C" w:rsidP="00247D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3C">
        <w:rPr>
          <w:rFonts w:ascii="Times New Roman" w:hAnsi="Times New Roman"/>
          <w:b/>
          <w:bCs/>
          <w:sz w:val="28"/>
          <w:szCs w:val="28"/>
        </w:rPr>
        <w:t xml:space="preserve">код </w:t>
      </w:r>
      <w:proofErr w:type="spellStart"/>
      <w:r w:rsidRPr="00247D3C">
        <w:rPr>
          <w:rFonts w:ascii="Times New Roman" w:hAnsi="Times New Roman"/>
          <w:b/>
          <w:bCs/>
          <w:sz w:val="28"/>
          <w:szCs w:val="28"/>
        </w:rPr>
        <w:t>ДК</w:t>
      </w:r>
      <w:proofErr w:type="spellEnd"/>
      <w:r w:rsidRPr="00247D3C">
        <w:rPr>
          <w:rFonts w:ascii="Times New Roman" w:hAnsi="Times New Roman"/>
          <w:b/>
          <w:bCs/>
          <w:sz w:val="28"/>
          <w:szCs w:val="28"/>
        </w:rPr>
        <w:t xml:space="preserve"> 021:2015 - 34220000-5 Причепи, напівпричепи та пересувні контейнери</w:t>
      </w:r>
    </w:p>
    <w:p w:rsidR="00BF25F2" w:rsidRPr="00F270EE" w:rsidRDefault="00BF25F2" w:rsidP="00BF2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EE">
        <w:rPr>
          <w:rFonts w:ascii="Times New Roman" w:hAnsi="Times New Roman"/>
          <w:b/>
          <w:sz w:val="24"/>
          <w:szCs w:val="24"/>
        </w:rPr>
        <w:t xml:space="preserve">Ідентифікатор </w:t>
      </w:r>
      <w:r w:rsidR="007303BC" w:rsidRPr="00F270EE">
        <w:rPr>
          <w:rFonts w:ascii="Times New Roman" w:hAnsi="Times New Roman"/>
          <w:b/>
          <w:sz w:val="24"/>
          <w:szCs w:val="24"/>
        </w:rPr>
        <w:t>закупівлі в електронній системі</w:t>
      </w:r>
      <w:r w:rsidRPr="00F270EE">
        <w:rPr>
          <w:rFonts w:ascii="Times New Roman" w:hAnsi="Times New Roman"/>
          <w:b/>
          <w:sz w:val="24"/>
          <w:szCs w:val="24"/>
        </w:rPr>
        <w:t xml:space="preserve">: </w:t>
      </w:r>
      <w:hyperlink r:id="rId5" w:tgtFrame="_blank" w:tooltip="Оголошення на порталі Уповноваженого органу" w:history="1"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UA-202</w:t>
        </w:r>
        <w:r w:rsidR="0018096F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4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BF25F2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10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2</w:t>
        </w:r>
        <w:r w:rsidR="00247D3C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9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00</w:t>
        </w:r>
        <w:r w:rsidR="00247D3C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7898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-a</w:t>
        </w:r>
      </w:hyperlink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303F6D" w:rsidRPr="00F270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Відкриті торги з особливостями</w:t>
      </w: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247D3C" w:rsidRPr="00247D3C">
        <w:rPr>
          <w:rFonts w:ascii="Times New Roman" w:hAnsi="Times New Roman" w:cs="Times New Roman"/>
          <w:b/>
          <w:sz w:val="24"/>
          <w:szCs w:val="24"/>
        </w:rPr>
        <w:t xml:space="preserve">478 500,00 </w:t>
      </w:r>
      <w:r w:rsidRPr="00F270EE">
        <w:rPr>
          <w:rFonts w:ascii="Times New Roman" w:hAnsi="Times New Roman"/>
          <w:b/>
          <w:sz w:val="24"/>
          <w:szCs w:val="24"/>
        </w:rPr>
        <w:t>грн.</w:t>
      </w:r>
      <w:r w:rsidRPr="00F270EE">
        <w:rPr>
          <w:rFonts w:ascii="Times New Roman" w:hAnsi="Times New Roman"/>
          <w:sz w:val="24"/>
          <w:szCs w:val="24"/>
        </w:rPr>
        <w:t xml:space="preserve"> </w:t>
      </w:r>
      <w:r w:rsidRPr="00F270EE">
        <w:rPr>
          <w:rFonts w:ascii="Times New Roman" w:hAnsi="Times New Roman"/>
          <w:b/>
          <w:sz w:val="24"/>
          <w:szCs w:val="24"/>
        </w:rPr>
        <w:t>з ПДВ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F270EE">
        <w:rPr>
          <w:rFonts w:ascii="Times New Roman" w:eastAsia="Times New Roman" w:hAnsi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F2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411321" w:rsidRPr="00F270EE" w:rsidRDefault="00411321" w:rsidP="00411321">
      <w:pPr>
        <w:spacing w:after="0" w:line="240" w:lineRule="auto"/>
        <w:ind w:firstLine="709"/>
        <w:jc w:val="both"/>
      </w:pPr>
    </w:p>
    <w:p w:rsidR="00173D5A" w:rsidRPr="00F270EE" w:rsidRDefault="00173D5A" w:rsidP="0017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закупівлі. </w:t>
      </w:r>
    </w:p>
    <w:p w:rsidR="00314F78" w:rsidRPr="00173D5A" w:rsidRDefault="00247D3C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оголошенням відкритих торгів на закупівлю - Котка дорожнього (</w:t>
      </w:r>
      <w:r w:rsidRPr="00247D3C">
        <w:rPr>
          <w:rFonts w:ascii="Times New Roman" w:hAnsi="Times New Roman" w:cs="Times New Roman"/>
          <w:sz w:val="24"/>
          <w:szCs w:val="24"/>
        </w:rPr>
        <w:t>UA-2024-10-25-009515-a</w:t>
      </w:r>
      <w:r>
        <w:rPr>
          <w:rFonts w:ascii="Times New Roman" w:hAnsi="Times New Roman" w:cs="Times New Roman"/>
          <w:sz w:val="24"/>
          <w:szCs w:val="24"/>
        </w:rPr>
        <w:t>), для забезпечення його транспортування до місця виконання робіт</w:t>
      </w:r>
      <w:r w:rsidR="00314F78">
        <w:rPr>
          <w:rFonts w:ascii="Times New Roman" w:hAnsi="Times New Roman" w:cs="Times New Roman"/>
          <w:sz w:val="24"/>
          <w:szCs w:val="24"/>
        </w:rPr>
        <w:t xml:space="preserve">, </w:t>
      </w:r>
      <w:r w:rsidR="00314F78" w:rsidRPr="007463F9">
        <w:rPr>
          <w:rFonts w:ascii="Times New Roman" w:hAnsi="Times New Roman" w:cs="Times New Roman"/>
          <w:sz w:val="24"/>
          <w:szCs w:val="24"/>
        </w:rPr>
        <w:t xml:space="preserve">необхідно придбати за бюджетні кошти </w:t>
      </w:r>
      <w:r>
        <w:rPr>
          <w:rFonts w:ascii="Times New Roman" w:hAnsi="Times New Roman" w:cs="Times New Roman"/>
          <w:sz w:val="24"/>
          <w:szCs w:val="24"/>
        </w:rPr>
        <w:t>причіп</w:t>
      </w:r>
      <w:r w:rsidR="00314F78" w:rsidRPr="0074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78" w:rsidRDefault="00314F78" w:rsidP="00314F7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eastAsia="uk-UA"/>
        </w:rPr>
      </w:pP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Виходячи з вищезазначеного та відповідно до </w:t>
      </w:r>
      <w:r w:rsidRPr="00173D5A">
        <w:rPr>
          <w:rFonts w:ascii="Times New Roman" w:hAnsi="Times New Roman"/>
          <w:b w:val="0"/>
          <w:sz w:val="24"/>
          <w:szCs w:val="24"/>
        </w:rPr>
        <w:t>Програми фінансової підтримки комунальних підприємств Переяславської міської ради на 202</w:t>
      </w:r>
      <w:r w:rsidR="00966016">
        <w:rPr>
          <w:rFonts w:ascii="Times New Roman" w:hAnsi="Times New Roman"/>
          <w:b w:val="0"/>
          <w:sz w:val="24"/>
          <w:szCs w:val="24"/>
        </w:rPr>
        <w:t>4</w:t>
      </w:r>
      <w:r w:rsidRPr="00173D5A">
        <w:rPr>
          <w:rFonts w:ascii="Times New Roman" w:hAnsi="Times New Roman"/>
          <w:b w:val="0"/>
          <w:sz w:val="24"/>
          <w:szCs w:val="24"/>
        </w:rPr>
        <w:t>-202</w:t>
      </w:r>
      <w:r w:rsidR="00966016">
        <w:rPr>
          <w:rFonts w:ascii="Times New Roman" w:hAnsi="Times New Roman"/>
          <w:b w:val="0"/>
          <w:sz w:val="24"/>
          <w:szCs w:val="24"/>
        </w:rPr>
        <w:t>6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роки, затвердженої рішенням Переяславської міської ради від </w:t>
      </w:r>
      <w:r w:rsidR="00966016">
        <w:rPr>
          <w:rFonts w:ascii="Times New Roman" w:hAnsi="Times New Roman"/>
          <w:b w:val="0"/>
          <w:sz w:val="24"/>
          <w:szCs w:val="24"/>
        </w:rPr>
        <w:t>19</w:t>
      </w:r>
      <w:r w:rsidRPr="00173D5A">
        <w:rPr>
          <w:rFonts w:ascii="Times New Roman" w:hAnsi="Times New Roman"/>
          <w:b w:val="0"/>
          <w:sz w:val="24"/>
          <w:szCs w:val="24"/>
        </w:rPr>
        <w:t>.1</w:t>
      </w:r>
      <w:r w:rsidR="00966016">
        <w:rPr>
          <w:rFonts w:ascii="Times New Roman" w:hAnsi="Times New Roman"/>
          <w:b w:val="0"/>
          <w:sz w:val="24"/>
          <w:szCs w:val="24"/>
        </w:rPr>
        <w:t>0</w:t>
      </w:r>
      <w:r w:rsidRPr="00173D5A">
        <w:rPr>
          <w:rFonts w:ascii="Times New Roman" w:hAnsi="Times New Roman"/>
          <w:b w:val="0"/>
          <w:sz w:val="24"/>
          <w:szCs w:val="24"/>
        </w:rPr>
        <w:t>.202</w:t>
      </w:r>
      <w:r w:rsidR="00966016">
        <w:rPr>
          <w:rFonts w:ascii="Times New Roman" w:hAnsi="Times New Roman"/>
          <w:b w:val="0"/>
          <w:sz w:val="24"/>
          <w:szCs w:val="24"/>
        </w:rPr>
        <w:t>3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№ </w:t>
      </w:r>
      <w:r w:rsidR="00966016">
        <w:rPr>
          <w:rFonts w:ascii="Times New Roman" w:hAnsi="Times New Roman"/>
          <w:b w:val="0"/>
          <w:sz w:val="24"/>
          <w:szCs w:val="24"/>
        </w:rPr>
        <w:t>18</w:t>
      </w:r>
      <w:r w:rsidRPr="00173D5A">
        <w:rPr>
          <w:rFonts w:ascii="Times New Roman" w:hAnsi="Times New Roman"/>
          <w:b w:val="0"/>
          <w:sz w:val="24"/>
          <w:szCs w:val="24"/>
        </w:rPr>
        <w:t>-</w:t>
      </w:r>
      <w:r w:rsidR="00966016">
        <w:rPr>
          <w:rFonts w:ascii="Times New Roman" w:hAnsi="Times New Roman"/>
          <w:b w:val="0"/>
          <w:sz w:val="24"/>
          <w:szCs w:val="24"/>
        </w:rPr>
        <w:t>64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-VIIІ,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для забезпечення потреб </w:t>
      </w:r>
      <w:proofErr w:type="spellStart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>КП</w:t>
      </w:r>
      <w:proofErr w:type="spellEnd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 ВУКГ при виконанні функцій з 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благоустрою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та враховуючи мінімальні і рекомендовані вимоги потрібно закупити 1 </w:t>
      </w:r>
      <w:r>
        <w:rPr>
          <w:rFonts w:ascii="Times New Roman" w:hAnsi="Times New Roman"/>
          <w:b w:val="0"/>
          <w:sz w:val="24"/>
          <w:szCs w:val="24"/>
          <w:lang w:eastAsia="uk-UA"/>
        </w:rPr>
        <w:t>(одну) одиницю</w:t>
      </w:r>
      <w:r w:rsidR="00247D3C">
        <w:rPr>
          <w:rFonts w:ascii="Times New Roman" w:hAnsi="Times New Roman"/>
          <w:b w:val="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– </w:t>
      </w:r>
      <w:r w:rsidR="00247D3C" w:rsidRPr="00247D3C">
        <w:rPr>
          <w:rFonts w:ascii="Times New Roman" w:hAnsi="Times New Roman"/>
          <w:b w:val="0"/>
          <w:sz w:val="24"/>
          <w:szCs w:val="24"/>
        </w:rPr>
        <w:t>Причіп для перевезення спецтехніки</w:t>
      </w:r>
      <w:r w:rsidR="0090062F">
        <w:rPr>
          <w:rFonts w:ascii="Times New Roman" w:hAnsi="Times New Roman"/>
          <w:b w:val="0"/>
          <w:sz w:val="24"/>
          <w:szCs w:val="24"/>
        </w:rPr>
        <w:t xml:space="preserve">. </w:t>
      </w:r>
      <w:r w:rsidR="0090062F" w:rsidRPr="0090062F">
        <w:rPr>
          <w:rFonts w:ascii="Times New Roman" w:hAnsi="Times New Roman"/>
          <w:b w:val="0"/>
          <w:sz w:val="24"/>
          <w:szCs w:val="24"/>
          <w:u w:val="single"/>
        </w:rPr>
        <w:t>Основні технічні характеристики</w:t>
      </w:r>
      <w:r w:rsidR="0090062F">
        <w:rPr>
          <w:rFonts w:ascii="Times New Roman" w:hAnsi="Times New Roman"/>
          <w:b w:val="0"/>
          <w:sz w:val="24"/>
          <w:szCs w:val="24"/>
          <w:lang w:eastAsia="uk-UA"/>
        </w:rPr>
        <w:t>:</w:t>
      </w:r>
    </w:p>
    <w:p w:rsidR="00247D3C" w:rsidRDefault="00247D3C" w:rsidP="00314F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Style w:val="a3"/>
        <w:tblW w:w="0" w:type="auto"/>
        <w:tblLook w:val="04A0"/>
      </w:tblPr>
      <w:tblGrid>
        <w:gridCol w:w="4503"/>
        <w:gridCol w:w="5670"/>
      </w:tblGrid>
      <w:tr w:rsidR="00247D3C" w:rsidTr="00247D3C">
        <w:tc>
          <w:tcPr>
            <w:tcW w:w="10173" w:type="dxa"/>
            <w:gridSpan w:val="2"/>
          </w:tcPr>
          <w:p w:rsidR="00247D3C" w:rsidRDefault="00247D3C" w:rsidP="00D41F40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4084">
              <w:rPr>
                <w:rFonts w:ascii="Times New Roman" w:hAnsi="Times New Roman"/>
                <w:b/>
                <w:sz w:val="24"/>
                <w:szCs w:val="24"/>
              </w:rPr>
              <w:t>Вимога замовника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A8791A">
              <w:rPr>
                <w:rFonts w:ascii="Times New Roman" w:hAnsi="Times New Roman"/>
                <w:sz w:val="24"/>
                <w:szCs w:val="24"/>
              </w:rPr>
              <w:t>Причіп  для перевезення спецтехніки,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 xml:space="preserve"> новий, 2024 року виготовлення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 1 од.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Повна вага реєстраційна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3500 кг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Кількість осей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3 шт.</w:t>
            </w:r>
          </w:p>
        </w:tc>
      </w:tr>
      <w:tr w:rsidR="00247D3C" w:rsidRPr="00A8791A" w:rsidTr="00247D3C">
        <w:tc>
          <w:tcPr>
            <w:tcW w:w="4503" w:type="dxa"/>
          </w:tcPr>
          <w:p w:rsidR="00247D3C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Номінальна навантаження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кожної 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осі </w:t>
            </w:r>
          </w:p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Knott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еквівалент)</w:t>
            </w:r>
          </w:p>
        </w:tc>
        <w:tc>
          <w:tcPr>
            <w:tcW w:w="5670" w:type="dxa"/>
          </w:tcPr>
          <w:p w:rsidR="00247D3C" w:rsidRPr="00A8791A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1800 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Розташування коліс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Збоку від платформи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Розмір  платформи:</w:t>
            </w:r>
          </w:p>
          <w:p w:rsidR="00247D3C" w:rsidRPr="00F04084" w:rsidRDefault="00247D3C" w:rsidP="00247D3C">
            <w:pPr>
              <w:pStyle w:val="a6"/>
              <w:numPr>
                <w:ilvl w:val="0"/>
                <w:numId w:val="7"/>
              </w:numPr>
            </w:pPr>
            <w:proofErr w:type="spellStart"/>
            <w:r w:rsidRPr="00F04084">
              <w:t>Довжина</w:t>
            </w:r>
            <w:proofErr w:type="spellEnd"/>
            <w:r w:rsidRPr="00F04084">
              <w:t xml:space="preserve"> </w:t>
            </w:r>
          </w:p>
          <w:p w:rsidR="00247D3C" w:rsidRPr="00F04084" w:rsidRDefault="00247D3C" w:rsidP="00247D3C">
            <w:pPr>
              <w:pStyle w:val="a6"/>
              <w:numPr>
                <w:ilvl w:val="0"/>
                <w:numId w:val="7"/>
              </w:numPr>
            </w:pPr>
            <w:r w:rsidRPr="00F04084">
              <w:t xml:space="preserve">Ширина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- не менше 4500 мм</w:t>
            </w:r>
          </w:p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- не менше 1900 мм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Платформа повинна мати антикорозійний захист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гаряче цинкування</w:t>
            </w:r>
          </w:p>
        </w:tc>
      </w:tr>
      <w:tr w:rsidR="00247D3C" w:rsidRPr="00C21330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Матеріал настилу </w:t>
            </w:r>
          </w:p>
        </w:tc>
        <w:tc>
          <w:tcPr>
            <w:tcW w:w="5670" w:type="dxa"/>
          </w:tcPr>
          <w:p w:rsidR="00247D3C" w:rsidRPr="00C21330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Лист перфорований, середня частина платформи  зашита</w:t>
            </w:r>
            <w:r w:rsidRPr="00C2133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247D3C" w:rsidRPr="00C21330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Гальмо накату </w:t>
            </w:r>
            <w:r>
              <w:t xml:space="preserve"> (</w:t>
            </w:r>
            <w:proofErr w:type="spellStart"/>
            <w:r w:rsidRPr="00A8791A">
              <w:rPr>
                <w:rFonts w:ascii="Times New Roman" w:hAnsi="Times New Roman"/>
                <w:sz w:val="24"/>
                <w:szCs w:val="24"/>
              </w:rPr>
              <w:t>Knott</w:t>
            </w:r>
            <w:proofErr w:type="spellEnd"/>
            <w:r w:rsidRPr="00A8791A">
              <w:rPr>
                <w:rFonts w:ascii="Times New Roman" w:hAnsi="Times New Roman"/>
                <w:sz w:val="24"/>
                <w:szCs w:val="24"/>
              </w:rPr>
              <w:t xml:space="preserve"> або еквівалент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247D3C" w:rsidRPr="00C21330" w:rsidRDefault="00247D3C" w:rsidP="00D41F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3500 кг</w:t>
            </w:r>
          </w:p>
        </w:tc>
      </w:tr>
      <w:tr w:rsidR="00247D3C" w:rsidRPr="00C21330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Зчіпний пристрій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Knott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еквівалент)</w:t>
            </w:r>
          </w:p>
        </w:tc>
        <w:tc>
          <w:tcPr>
            <w:tcW w:w="5670" w:type="dxa"/>
          </w:tcPr>
          <w:p w:rsidR="00247D3C" w:rsidRPr="00C21330" w:rsidRDefault="00247D3C" w:rsidP="00D41F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3500 кг</w:t>
            </w:r>
          </w:p>
        </w:tc>
      </w:tr>
      <w:tr w:rsidR="00247D3C" w:rsidRPr="00C21330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proofErr w:type="spellStart"/>
            <w:r w:rsidRPr="00F04084">
              <w:rPr>
                <w:rFonts w:ascii="Times New Roman" w:hAnsi="Times New Roman"/>
                <w:sz w:val="24"/>
                <w:szCs w:val="24"/>
              </w:rPr>
              <w:t>Nato</w:t>
            </w:r>
            <w:proofErr w:type="spellEnd"/>
          </w:p>
        </w:tc>
        <w:tc>
          <w:tcPr>
            <w:tcW w:w="5670" w:type="dxa"/>
          </w:tcPr>
          <w:p w:rsidR="00247D3C" w:rsidRPr="00C21330" w:rsidRDefault="00247D3C" w:rsidP="00D41F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Опорне колесо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500 кг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Металевий хомут, діаметр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менше 60 мм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Опорна стійка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 xml:space="preserve"> телескопічна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1000 кг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Трап зварний посилений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не менше 2000х390 мм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Диск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Pr="00F04084">
              <w:rPr>
                <w:rFonts w:ascii="Times New Roman" w:hAnsi="Times New Roman"/>
                <w:sz w:val="24"/>
                <w:szCs w:val="24"/>
                <w:lang w:val="en-US"/>
              </w:rPr>
              <w:t>R14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>, 112х5</w:t>
            </w:r>
          </w:p>
        </w:tc>
      </w:tr>
      <w:tr w:rsidR="00247D3C" w:rsidRPr="00A8791A" w:rsidTr="00247D3C">
        <w:tc>
          <w:tcPr>
            <w:tcW w:w="4503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Гума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еквівалент)</w:t>
            </w:r>
          </w:p>
        </w:tc>
        <w:tc>
          <w:tcPr>
            <w:tcW w:w="5670" w:type="dxa"/>
          </w:tcPr>
          <w:p w:rsidR="00247D3C" w:rsidRPr="00A8791A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менше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>5</w:t>
            </w:r>
            <w:r w:rsidRPr="00F0408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8791A">
              <w:rPr>
                <w:rFonts w:ascii="Times New Roman" w:hAnsi="Times New Roman"/>
                <w:sz w:val="24"/>
                <w:szCs w:val="24"/>
              </w:rPr>
              <w:t>1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>4</w:t>
            </w:r>
            <w:r w:rsidRPr="00F0408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084">
              <w:rPr>
                <w:rFonts w:ascii="Times New Roman" w:hAnsi="Times New Roman"/>
                <w:sz w:val="24"/>
                <w:szCs w:val="24"/>
              </w:rPr>
              <w:t>Бризковик</w:t>
            </w:r>
            <w:proofErr w:type="spellEnd"/>
          </w:p>
        </w:tc>
        <w:tc>
          <w:tcPr>
            <w:tcW w:w="5670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Гумовий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 xml:space="preserve">Гальмо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інерційного типу, аварійне та стоянкове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Дишло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V-подібне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 заднього ходу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Лебідка </w:t>
            </w: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>еханічна з тросом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Світлові прилади</w:t>
            </w:r>
            <w:r w:rsidRPr="00F040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 w:rsidRPr="00F04084">
              <w:rPr>
                <w:rFonts w:ascii="Times New Roman" w:hAnsi="Times New Roman"/>
                <w:sz w:val="24"/>
                <w:szCs w:val="24"/>
              </w:rPr>
              <w:t>12 В</w:t>
            </w:r>
          </w:p>
        </w:tc>
      </w:tr>
      <w:tr w:rsidR="00247D3C" w:rsidRPr="00F04084" w:rsidTr="00247D3C">
        <w:tc>
          <w:tcPr>
            <w:tcW w:w="4503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Колір </w:t>
            </w:r>
          </w:p>
        </w:tc>
        <w:tc>
          <w:tcPr>
            <w:tcW w:w="5670" w:type="dxa"/>
          </w:tcPr>
          <w:p w:rsidR="00247D3C" w:rsidRPr="00F04084" w:rsidRDefault="00247D3C" w:rsidP="00D41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Сірий</w:t>
            </w:r>
          </w:p>
        </w:tc>
      </w:tr>
    </w:tbl>
    <w:p w:rsidR="00247D3C" w:rsidRDefault="009E4421" w:rsidP="00314F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разі, якщо вартість оголошеного замовником предмета закупівлі дорівнює або перевищує 200 тисяч гривень, учасник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підтверджує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, що ступінь локалізації виробництва товару, визначеного підпунктом 2 пункту 6</w:t>
      </w:r>
      <w:r w:rsidRPr="00AA261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Прикінцевих та перехідних положень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Закону, що є предметом закупівлі, дорівнює чи перевищує 20 відсотків, а також містить інформацію про включення такого товару до Переліку та відповідний пункт Переліку, за яким відображається інформація про товар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зокрема - </w:t>
      </w:r>
      <w:r w:rsidRPr="00971962">
        <w:rPr>
          <w:rFonts w:ascii="Times New Roman" w:eastAsia="Times New Roman" w:hAnsi="Times New Roman"/>
          <w:sz w:val="24"/>
          <w:szCs w:val="24"/>
          <w:lang w:eastAsia="ru-RU"/>
        </w:rPr>
        <w:t>найменування товару, назви виробника та ID товару, який присвоєно електронною системою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4F78" w:rsidRPr="00173D5A" w:rsidRDefault="0090062F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Обґ</w:t>
      </w:r>
      <w:r w:rsidR="00314F78" w:rsidRPr="00173D5A">
        <w:rPr>
          <w:rFonts w:ascii="Times New Roman" w:hAnsi="Times New Roman"/>
          <w:b/>
          <w:sz w:val="24"/>
          <w:szCs w:val="24"/>
          <w:lang w:eastAsia="uk-UA"/>
        </w:rPr>
        <w:t>рунтування очікуваної вартості закупівлі.</w:t>
      </w:r>
    </w:p>
    <w:p w:rsidR="00314F78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3D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на закупівлю товару становить </w:t>
      </w:r>
      <w:r w:rsidR="00BB6E71">
        <w:rPr>
          <w:rFonts w:ascii="Times New Roman" w:hAnsi="Times New Roman"/>
          <w:sz w:val="24"/>
          <w:szCs w:val="24"/>
          <w:lang w:eastAsia="uk-UA"/>
        </w:rPr>
        <w:t>478500</w:t>
      </w:r>
      <w:r w:rsidRPr="00173D5A">
        <w:rPr>
          <w:rFonts w:ascii="Times New Roman" w:hAnsi="Times New Roman"/>
          <w:sz w:val="24"/>
          <w:szCs w:val="24"/>
          <w:lang w:eastAsia="uk-UA"/>
        </w:rPr>
        <w:t>,00 грн.</w:t>
      </w:r>
    </w:p>
    <w:p w:rsidR="00314F78" w:rsidRPr="006C5F79" w:rsidRDefault="00314F78" w:rsidP="00314F78">
      <w:pPr>
        <w:pStyle w:val="a4"/>
        <w:spacing w:line="0" w:lineRule="atLeast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F538D">
        <w:rPr>
          <w:rFonts w:ascii="Times New Roman" w:hAnsi="Times New Roman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Cs w:val="24"/>
          <w:lang w:val="uk-UA"/>
        </w:rPr>
        <w:t xml:space="preserve">предмету </w:t>
      </w:r>
      <w:r w:rsidRPr="001F538D">
        <w:rPr>
          <w:rFonts w:ascii="Times New Roman" w:hAnsi="Times New Roman"/>
          <w:szCs w:val="24"/>
          <w:lang w:val="uk-UA"/>
        </w:rPr>
        <w:t>закупівлі визнач</w:t>
      </w:r>
      <w:r>
        <w:rPr>
          <w:rFonts w:ascii="Times New Roman" w:hAnsi="Times New Roman"/>
          <w:szCs w:val="24"/>
          <w:lang w:val="uk-UA"/>
        </w:rPr>
        <w:t>ена</w:t>
      </w:r>
      <w:r w:rsidRPr="001F538D">
        <w:rPr>
          <w:rFonts w:ascii="Times New Roman" w:hAnsi="Times New Roman"/>
          <w:szCs w:val="24"/>
          <w:lang w:val="uk-UA"/>
        </w:rPr>
        <w:t xml:space="preserve"> відповідно до бюджетних призначень по </w:t>
      </w:r>
      <w:r w:rsidR="0090062F">
        <w:rPr>
          <w:rFonts w:ascii="Times New Roman" w:hAnsi="Times New Roman"/>
          <w:szCs w:val="24"/>
          <w:lang w:val="uk-UA"/>
        </w:rPr>
        <w:t>КТПКВК</w:t>
      </w:r>
      <w:r w:rsidRPr="001F538D">
        <w:rPr>
          <w:rFonts w:ascii="Times New Roman" w:hAnsi="Times New Roman"/>
          <w:szCs w:val="24"/>
          <w:lang w:val="uk-UA"/>
        </w:rPr>
        <w:t xml:space="preserve"> МБ 1517670 КЕКВ 3210 на 202</w:t>
      </w:r>
      <w:r w:rsidR="0090062F">
        <w:rPr>
          <w:rFonts w:ascii="Times New Roman" w:hAnsi="Times New Roman"/>
          <w:szCs w:val="24"/>
          <w:lang w:val="uk-UA"/>
        </w:rPr>
        <w:t>4</w:t>
      </w:r>
      <w:r w:rsidRPr="001F538D">
        <w:rPr>
          <w:rFonts w:ascii="Times New Roman" w:hAnsi="Times New Roman"/>
          <w:szCs w:val="24"/>
          <w:lang w:val="uk-UA"/>
        </w:rPr>
        <w:t xml:space="preserve"> рік</w:t>
      </w:r>
      <w:r>
        <w:rPr>
          <w:rFonts w:ascii="Times New Roman" w:hAnsi="Times New Roman"/>
          <w:szCs w:val="24"/>
          <w:lang w:val="uk-UA"/>
        </w:rPr>
        <w:t xml:space="preserve">, </w:t>
      </w:r>
      <w:r w:rsidR="004A1203">
        <w:rPr>
          <w:rFonts w:ascii="Times New Roman" w:hAnsi="Times New Roman"/>
          <w:szCs w:val="24"/>
          <w:lang w:val="uk-UA"/>
        </w:rPr>
        <w:t xml:space="preserve">згідно </w:t>
      </w:r>
      <w:r w:rsidR="0090062F">
        <w:rPr>
          <w:rFonts w:ascii="Times New Roman" w:hAnsi="Times New Roman"/>
          <w:color w:val="000000"/>
          <w:szCs w:val="24"/>
          <w:lang w:val="uk-UA"/>
        </w:rPr>
        <w:t>рішення Переяславської міської ради від 22.10.2024р. № 26-87-</w:t>
      </w:r>
      <w:r w:rsidR="0090062F">
        <w:rPr>
          <w:rFonts w:ascii="Times New Roman" w:hAnsi="Times New Roman"/>
          <w:color w:val="000000"/>
          <w:szCs w:val="24"/>
          <w:lang w:val="en-US"/>
        </w:rPr>
        <w:t>V</w:t>
      </w:r>
      <w:r w:rsidR="0090062F">
        <w:rPr>
          <w:rFonts w:ascii="Times New Roman" w:hAnsi="Times New Roman"/>
          <w:color w:val="000000"/>
          <w:szCs w:val="24"/>
          <w:lang w:val="uk-UA"/>
        </w:rPr>
        <w:t>ІІІ «Про внесення змін до рішення від 21.12.2023р. № 02-68-</w:t>
      </w:r>
      <w:r w:rsidR="0090062F">
        <w:rPr>
          <w:rFonts w:ascii="Times New Roman" w:hAnsi="Times New Roman"/>
          <w:color w:val="000000"/>
          <w:szCs w:val="24"/>
          <w:lang w:val="en-US"/>
        </w:rPr>
        <w:t>V</w:t>
      </w:r>
      <w:r w:rsidR="0090062F">
        <w:rPr>
          <w:rFonts w:ascii="Times New Roman" w:hAnsi="Times New Roman"/>
          <w:color w:val="000000"/>
          <w:szCs w:val="24"/>
          <w:lang w:val="uk-UA"/>
        </w:rPr>
        <w:t>ІІІ «Про бюджет Переяславської міської територіальної громади на 2024 рік»</w:t>
      </w:r>
      <w:r>
        <w:rPr>
          <w:rFonts w:ascii="Times New Roman" w:hAnsi="Times New Roman"/>
          <w:szCs w:val="24"/>
          <w:lang w:val="uk-UA"/>
        </w:rPr>
        <w:t xml:space="preserve">, </w:t>
      </w:r>
      <w:r w:rsidRPr="006C5F79">
        <w:rPr>
          <w:rFonts w:ascii="Times New Roman" w:hAnsi="Times New Roman"/>
          <w:szCs w:val="24"/>
          <w:lang w:val="uk-UA"/>
        </w:rPr>
        <w:t xml:space="preserve">згідно якого збільшено капітальні видатки по КТПКВК МБ 1517670 (внески до статутного капіталу суб’єктів господарювання) КЕКВ 3210 (капітальні трансферти підприємствам (установам, організаціям)) на придбання </w:t>
      </w:r>
      <w:r w:rsidR="00BB6E71">
        <w:rPr>
          <w:rFonts w:ascii="Times New Roman" w:hAnsi="Times New Roman"/>
          <w:szCs w:val="24"/>
          <w:lang w:val="uk-UA"/>
        </w:rPr>
        <w:t>причепу для перевезення котка</w:t>
      </w:r>
      <w:r w:rsidRPr="006C5F79">
        <w:rPr>
          <w:rFonts w:ascii="Times New Roman" w:hAnsi="Times New Roman"/>
          <w:szCs w:val="24"/>
          <w:lang w:val="uk-UA"/>
        </w:rPr>
        <w:t xml:space="preserve"> (шляхом збільшення статутного капіталу) на суму </w:t>
      </w:r>
      <w:r w:rsidR="00BB6E71">
        <w:rPr>
          <w:rFonts w:ascii="Times New Roman" w:hAnsi="Times New Roman"/>
          <w:szCs w:val="24"/>
          <w:lang w:val="uk-UA"/>
        </w:rPr>
        <w:t>478500</w:t>
      </w:r>
      <w:r w:rsidRPr="006C5F79">
        <w:rPr>
          <w:rFonts w:ascii="Times New Roman" w:hAnsi="Times New Roman"/>
          <w:szCs w:val="24"/>
          <w:lang w:val="uk-UA"/>
        </w:rPr>
        <w:t>,00 гривень.</w:t>
      </w:r>
    </w:p>
    <w:p w:rsidR="00314F78" w:rsidRPr="00173D5A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463F9">
        <w:rPr>
          <w:rFonts w:ascii="Times New Roman" w:hAnsi="Times New Roman"/>
          <w:sz w:val="24"/>
          <w:szCs w:val="24"/>
          <w:lang w:eastAsia="uk-UA"/>
        </w:rPr>
        <w:t>Розрахунок очікуваної вартості здійснювався методом порівняння ринкових цін</w:t>
      </w:r>
      <w:r>
        <w:rPr>
          <w:rFonts w:ascii="Times New Roman" w:hAnsi="Times New Roman"/>
          <w:sz w:val="24"/>
          <w:szCs w:val="24"/>
          <w:lang w:eastAsia="uk-UA"/>
        </w:rPr>
        <w:t xml:space="preserve"> з урахуванням </w:t>
      </w:r>
      <w:r>
        <w:rPr>
          <w:rFonts w:ascii="Times New Roman" w:hAnsi="Times New Roman" w:cs="Times New Roman"/>
          <w:sz w:val="24"/>
          <w:szCs w:val="24"/>
        </w:rPr>
        <w:t>технологічних</w:t>
      </w:r>
      <w:r w:rsidRPr="00173D5A">
        <w:rPr>
          <w:rFonts w:ascii="Times New Roman" w:hAnsi="Times New Roman" w:cs="Times New Roman"/>
          <w:sz w:val="24"/>
          <w:szCs w:val="24"/>
        </w:rPr>
        <w:t xml:space="preserve"> особливост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73D5A">
        <w:rPr>
          <w:rFonts w:ascii="Times New Roman" w:hAnsi="Times New Roman" w:cs="Times New Roman"/>
          <w:sz w:val="24"/>
          <w:szCs w:val="24"/>
        </w:rPr>
        <w:t xml:space="preserve"> виробничого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D5A">
        <w:rPr>
          <w:rFonts w:ascii="Times New Roman" w:hAnsi="Times New Roman" w:cs="Times New Roman"/>
          <w:sz w:val="24"/>
          <w:szCs w:val="24"/>
        </w:rPr>
        <w:t>процесу</w:t>
      </w:r>
      <w:r w:rsidRPr="007463F9">
        <w:rPr>
          <w:rFonts w:ascii="Times New Roman" w:hAnsi="Times New Roman"/>
          <w:sz w:val="24"/>
          <w:szCs w:val="24"/>
          <w:lang w:eastAsia="uk-UA"/>
        </w:rPr>
        <w:t>, а саме: 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моніторинг цін, шляхом здійснення </w:t>
      </w:r>
      <w:r w:rsidRPr="007463F9">
        <w:rPr>
          <w:rFonts w:ascii="Times New Roman" w:hAnsi="Times New Roman"/>
          <w:sz w:val="24"/>
          <w:szCs w:val="24"/>
          <w:lang w:eastAsia="uk-UA"/>
        </w:rPr>
        <w:t xml:space="preserve">пошуку, збору та аналізу 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загальнодоступної інформації про ціну товару (інформація про ціни, що містяться в мережі </w:t>
      </w:r>
      <w:proofErr w:type="spellStart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>інтернет</w:t>
      </w:r>
      <w:proofErr w:type="spellEnd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у відкритому доступі, спеціалізованих торгівельних майданчиках, в електронних каталогах, в електронній системі закупівель «Прозоро», </w:t>
      </w:r>
      <w:r w:rsidRPr="00173D5A">
        <w:rPr>
          <w:rFonts w:ascii="Times New Roman" w:hAnsi="Times New Roman"/>
          <w:sz w:val="24"/>
          <w:szCs w:val="24"/>
          <w:lang w:eastAsia="uk-UA"/>
        </w:rPr>
        <w:t>каталогів з переліком Товарів на сайтах виробників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2211" w:rsidRPr="00F270EE" w:rsidRDefault="007E2211" w:rsidP="007E2211">
      <w:pPr>
        <w:pStyle w:val="a4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B870D1" w:rsidRPr="00F270EE" w:rsidRDefault="00B870D1" w:rsidP="00AA6CC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870D1" w:rsidRPr="00F270EE" w:rsidSect="00411321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D3FCA"/>
    <w:multiLevelType w:val="hybridMultilevel"/>
    <w:tmpl w:val="27C4180A"/>
    <w:lvl w:ilvl="0" w:tplc="73144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2F1"/>
    <w:rsid w:val="00015F59"/>
    <w:rsid w:val="000A3580"/>
    <w:rsid w:val="000B5471"/>
    <w:rsid w:val="000C463D"/>
    <w:rsid w:val="000C5C60"/>
    <w:rsid w:val="000C7B95"/>
    <w:rsid w:val="000F2F2A"/>
    <w:rsid w:val="001008E9"/>
    <w:rsid w:val="00111F2F"/>
    <w:rsid w:val="00116CC7"/>
    <w:rsid w:val="0014121A"/>
    <w:rsid w:val="00150D86"/>
    <w:rsid w:val="00173D5A"/>
    <w:rsid w:val="0018096F"/>
    <w:rsid w:val="001B435A"/>
    <w:rsid w:val="001E1AFD"/>
    <w:rsid w:val="002359D9"/>
    <w:rsid w:val="00247D3C"/>
    <w:rsid w:val="002556B2"/>
    <w:rsid w:val="00290D39"/>
    <w:rsid w:val="002951FE"/>
    <w:rsid w:val="002D70E2"/>
    <w:rsid w:val="002E33B3"/>
    <w:rsid w:val="00303F6D"/>
    <w:rsid w:val="00314F78"/>
    <w:rsid w:val="00366157"/>
    <w:rsid w:val="00383DB8"/>
    <w:rsid w:val="0040386C"/>
    <w:rsid w:val="00411321"/>
    <w:rsid w:val="004478B5"/>
    <w:rsid w:val="004661D0"/>
    <w:rsid w:val="00484CEC"/>
    <w:rsid w:val="004A1203"/>
    <w:rsid w:val="004B03B3"/>
    <w:rsid w:val="004B2FE2"/>
    <w:rsid w:val="004B352E"/>
    <w:rsid w:val="004E4F48"/>
    <w:rsid w:val="00563D25"/>
    <w:rsid w:val="0057352C"/>
    <w:rsid w:val="005B29DC"/>
    <w:rsid w:val="005D0E49"/>
    <w:rsid w:val="005D2F83"/>
    <w:rsid w:val="005F2A48"/>
    <w:rsid w:val="005F7F45"/>
    <w:rsid w:val="006374BB"/>
    <w:rsid w:val="00676D5D"/>
    <w:rsid w:val="00681284"/>
    <w:rsid w:val="0069000A"/>
    <w:rsid w:val="006B1333"/>
    <w:rsid w:val="006D56DF"/>
    <w:rsid w:val="007303BC"/>
    <w:rsid w:val="00744571"/>
    <w:rsid w:val="00747933"/>
    <w:rsid w:val="00761EAB"/>
    <w:rsid w:val="007745A9"/>
    <w:rsid w:val="00776AB6"/>
    <w:rsid w:val="007874A6"/>
    <w:rsid w:val="007B4685"/>
    <w:rsid w:val="007C3B2E"/>
    <w:rsid w:val="007E2211"/>
    <w:rsid w:val="007F709B"/>
    <w:rsid w:val="008047C3"/>
    <w:rsid w:val="008277AE"/>
    <w:rsid w:val="008612F1"/>
    <w:rsid w:val="0086177E"/>
    <w:rsid w:val="008674AA"/>
    <w:rsid w:val="00874268"/>
    <w:rsid w:val="008803BB"/>
    <w:rsid w:val="008B5D83"/>
    <w:rsid w:val="008D3567"/>
    <w:rsid w:val="0090062F"/>
    <w:rsid w:val="00914D59"/>
    <w:rsid w:val="00955BCE"/>
    <w:rsid w:val="00960CE3"/>
    <w:rsid w:val="00966016"/>
    <w:rsid w:val="009C0D2D"/>
    <w:rsid w:val="009E4421"/>
    <w:rsid w:val="009F466A"/>
    <w:rsid w:val="00A25F6D"/>
    <w:rsid w:val="00A369A6"/>
    <w:rsid w:val="00A54C4B"/>
    <w:rsid w:val="00AA6CC7"/>
    <w:rsid w:val="00B11AAF"/>
    <w:rsid w:val="00B415B3"/>
    <w:rsid w:val="00B659C4"/>
    <w:rsid w:val="00B870D1"/>
    <w:rsid w:val="00BA0FF8"/>
    <w:rsid w:val="00BB1A0F"/>
    <w:rsid w:val="00BB6E71"/>
    <w:rsid w:val="00BD6EAC"/>
    <w:rsid w:val="00BF25F2"/>
    <w:rsid w:val="00C16B6D"/>
    <w:rsid w:val="00C5119B"/>
    <w:rsid w:val="00CA379E"/>
    <w:rsid w:val="00CB6E0C"/>
    <w:rsid w:val="00D04364"/>
    <w:rsid w:val="00D22379"/>
    <w:rsid w:val="00D57578"/>
    <w:rsid w:val="00DC1092"/>
    <w:rsid w:val="00DC571B"/>
    <w:rsid w:val="00DD312A"/>
    <w:rsid w:val="00DF309A"/>
    <w:rsid w:val="00E23F24"/>
    <w:rsid w:val="00E24D45"/>
    <w:rsid w:val="00E366B0"/>
    <w:rsid w:val="00E60089"/>
    <w:rsid w:val="00E72919"/>
    <w:rsid w:val="00E93338"/>
    <w:rsid w:val="00F146BB"/>
    <w:rsid w:val="00F270EE"/>
    <w:rsid w:val="00F86BE2"/>
    <w:rsid w:val="00FB454D"/>
    <w:rsid w:val="00FC1BD9"/>
    <w:rsid w:val="00FE19EB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1"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aliases w:val="AC List 01,Список уровня 2,название табл/рис,заголовок 1.1,Абзац списка5,1 Буллет,List Paragraph (numbered (a)),List_Paragraph,Multilevel para_II,List Paragraph-ExecSummary,Akapit z listą BS,Bullets,List Paragraph 1,References,EBRD List"/>
    <w:basedOn w:val="a"/>
    <w:link w:val="a7"/>
    <w:uiPriority w:val="34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8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character" w:styleId="a9">
    <w:name w:val="Hyperlink"/>
    <w:basedOn w:val="a0"/>
    <w:uiPriority w:val="99"/>
    <w:unhideWhenUsed/>
    <w:rsid w:val="007E2211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F270EE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70EE"/>
    <w:pPr>
      <w:widowControl w:val="0"/>
      <w:autoSpaceDE w:val="0"/>
      <w:autoSpaceDN w:val="0"/>
      <w:spacing w:before="11" w:after="0" w:line="240" w:lineRule="auto"/>
      <w:ind w:right="32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Абзац списка Знак"/>
    <w:aliases w:val="AC List 01 Знак,Список уровня 2 Знак,название табл/рис Знак,заголовок 1.1 Знак,Абзац списка5 Знак,1 Буллет Знак,List Paragraph (numbered (a)) Знак,List_Paragraph Знак,Multilevel para_II Знак,List Paragraph-ExecSummary Знак,Bullets Знак"/>
    <w:link w:val="a6"/>
    <w:uiPriority w:val="34"/>
    <w:locked/>
    <w:rsid w:val="00247D3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8-22-0076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vera</cp:lastModifiedBy>
  <cp:revision>28</cp:revision>
  <dcterms:created xsi:type="dcterms:W3CDTF">2022-01-17T08:29:00Z</dcterms:created>
  <dcterms:modified xsi:type="dcterms:W3CDTF">2024-11-01T11:59:00Z</dcterms:modified>
</cp:coreProperties>
</file>