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4" w:rsidRPr="00E400D7" w:rsidRDefault="00DC571B" w:rsidP="0083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D7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832E54" w:rsidRPr="00E400D7" w:rsidRDefault="00394EF6" w:rsidP="0083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D7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Електрична енергія (активна) </w:t>
      </w:r>
      <w:r w:rsidRPr="00E400D7">
        <w:rPr>
          <w:rFonts w:ascii="Times New Roman" w:hAnsi="Times New Roman"/>
          <w:b/>
          <w:sz w:val="24"/>
          <w:szCs w:val="24"/>
        </w:rPr>
        <w:t>(з урахуванням вартості послуги з передачі електроенергії</w:t>
      </w:r>
      <w:r w:rsidR="00832E54" w:rsidRPr="00E40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321" w:rsidRPr="00E400D7" w:rsidRDefault="00394EF6" w:rsidP="0083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0D7">
        <w:rPr>
          <w:rFonts w:ascii="Times New Roman" w:hAnsi="Times New Roman"/>
          <w:b/>
          <w:sz w:val="24"/>
          <w:szCs w:val="24"/>
        </w:rPr>
        <w:t>та з урахування вартості послуг з розподілу електричної енергії)</w:t>
      </w:r>
      <w:r w:rsidRPr="00E40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0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код </w:t>
      </w:r>
      <w:r w:rsidRPr="00E40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ДК 021:2015 «Єдиний закупівельний словник» - </w:t>
      </w:r>
      <w:r w:rsidRPr="00E400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09310000-5 - Електрична енергія</w:t>
      </w:r>
    </w:p>
    <w:p w:rsidR="00394EF6" w:rsidRPr="00E400D7" w:rsidRDefault="00394EF6" w:rsidP="0039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F6" w:rsidRPr="00E400D7" w:rsidRDefault="00DC571B" w:rsidP="00394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0D7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394EF6" w:rsidRPr="00E400D7">
          <w:rPr>
            <w:rFonts w:ascii="Times New Roman" w:hAnsi="Times New Roman"/>
            <w:sz w:val="24"/>
            <w:szCs w:val="24"/>
          </w:rPr>
          <w:t>UA-2022-12-20-005961-a</w:t>
        </w:r>
      </w:hyperlink>
    </w:p>
    <w:p w:rsidR="00832E54" w:rsidRPr="00E400D7" w:rsidRDefault="00DC571B" w:rsidP="0083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D7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E400D7">
        <w:rPr>
          <w:rFonts w:ascii="Times New Roman" w:hAnsi="Times New Roman" w:cs="Times New Roman"/>
          <w:sz w:val="24"/>
          <w:szCs w:val="24"/>
        </w:rPr>
        <w:t>Відкриті торги (з особливостями)</w:t>
      </w:r>
    </w:p>
    <w:p w:rsidR="00DC571B" w:rsidRPr="00E400D7" w:rsidRDefault="00DC571B" w:rsidP="00832E5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400D7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32E54" w:rsidRPr="00E400D7">
        <w:rPr>
          <w:rFonts w:ascii="Times New Roman" w:hAnsi="Times New Roman"/>
          <w:sz w:val="24"/>
          <w:szCs w:val="24"/>
        </w:rPr>
        <w:t>4 414</w:t>
      </w:r>
      <w:r w:rsidR="000D3AB9">
        <w:rPr>
          <w:rFonts w:ascii="Times New Roman" w:hAnsi="Times New Roman"/>
          <w:sz w:val="24"/>
          <w:szCs w:val="24"/>
        </w:rPr>
        <w:t> 996,</w:t>
      </w:r>
      <w:r w:rsidR="00832E54" w:rsidRPr="00E400D7">
        <w:rPr>
          <w:rFonts w:ascii="Times New Roman" w:hAnsi="Times New Roman"/>
          <w:sz w:val="24"/>
          <w:szCs w:val="24"/>
        </w:rPr>
        <w:t>00</w:t>
      </w:r>
      <w:r w:rsidRPr="00E400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Pr="00E400D7">
        <w:rPr>
          <w:rFonts w:ascii="Times New Roman" w:hAnsi="Times New Roman"/>
          <w:sz w:val="24"/>
          <w:szCs w:val="24"/>
        </w:rPr>
        <w:t>грн. з ПДВ</w:t>
      </w:r>
    </w:p>
    <w:p w:rsidR="00DC571B" w:rsidRPr="00E400D7" w:rsidRDefault="00DC571B" w:rsidP="00832E5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00D7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E400D7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E400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00D7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E400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40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E400D7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0D7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E400D7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E400D7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E40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E400D7" w:rsidRDefault="00411321" w:rsidP="004113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A2667" w:rsidRPr="00B870D1" w:rsidRDefault="006A2667" w:rsidP="006A2667">
      <w:pPr>
        <w:pStyle w:val="a6"/>
        <w:ind w:left="0" w:firstLine="709"/>
        <w:jc w:val="both"/>
        <w:rPr>
          <w:lang w:val="uk-UA"/>
        </w:rPr>
      </w:pPr>
      <w:r w:rsidRPr="00B870D1">
        <w:rPr>
          <w:lang w:val="uk-UA"/>
        </w:rPr>
        <w:t>Необхідність проведення закупівлі електричної енергії на 202</w:t>
      </w:r>
      <w:r w:rsidR="00B733FF">
        <w:rPr>
          <w:lang w:val="uk-UA"/>
        </w:rPr>
        <w:t>3</w:t>
      </w:r>
      <w:bookmarkStart w:id="0" w:name="_GoBack"/>
      <w:bookmarkEnd w:id="0"/>
      <w:r w:rsidRPr="00B870D1">
        <w:rPr>
          <w:lang w:val="uk-UA"/>
        </w:rPr>
        <w:t xml:space="preserve"> рік зумовлена потребою в забезпеченні функціонування КП ВУКГ по енергозабезпеченню об’єктів підприємства для забезпечення вуличного освітлення Переяславської ОТГ.</w:t>
      </w:r>
    </w:p>
    <w:p w:rsidR="003138D8" w:rsidRPr="00E400D7" w:rsidRDefault="00411321" w:rsidP="00E4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400D7">
        <w:rPr>
          <w:rFonts w:ascii="Times New Roman" w:hAnsi="Times New Roman" w:cs="Times New Roman"/>
          <w:sz w:val="24"/>
          <w:szCs w:val="24"/>
        </w:rPr>
        <w:t xml:space="preserve">Розмір очікуваної вартості предмета закупівлі визначений на підставі договірних величин споживання електричної енергії (обсяг споживання за попередній рік); </w:t>
      </w:r>
      <w:r w:rsidRPr="00E400D7">
        <w:rPr>
          <w:rFonts w:ascii="Times New Roman" w:hAnsi="Times New Roman" w:cs="Times New Roman"/>
          <w:sz w:val="24"/>
          <w:szCs w:val="24"/>
          <w:lang w:eastAsia="uk-UA"/>
        </w:rPr>
        <w:t>прогнозованої ціни РДН, яка для даної закупівлі визначена як середньозважена ціна на РДН (у торговій зоні Об'єднана Енергетичн</w:t>
      </w:r>
      <w:r w:rsidR="003138D8" w:rsidRPr="00E400D7">
        <w:rPr>
          <w:rFonts w:ascii="Times New Roman" w:hAnsi="Times New Roman" w:cs="Times New Roman"/>
          <w:sz w:val="24"/>
          <w:szCs w:val="24"/>
          <w:lang w:eastAsia="uk-UA"/>
        </w:rPr>
        <w:t>а Система України (ОЕС України) за листопад 2022 року за 1 кВт*год без ПДВ, (3,43350 грн/кВт*год);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01.12.2021 № 2454 за 1 кВт*год без ПДВ;</w:t>
      </w:r>
      <w:r w:rsidR="00E400D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400D7" w:rsidRPr="00E400D7">
        <w:rPr>
          <w:rFonts w:ascii="Times New Roman" w:hAnsi="Times New Roman" w:cs="Times New Roman"/>
          <w:sz w:val="24"/>
          <w:szCs w:val="24"/>
          <w:lang w:eastAsia="uk-UA"/>
        </w:rPr>
        <w:t xml:space="preserve">тариф на послуги з розподілу електричної енергії, затверджений постановами НКРЕКП для ПРАТ «ДТЕК Київські регіональні електромережі» за 1 кВт*год без ПДВ; ставка податку на додану вартість (ПДВ - 20 %); при цьому маржа (вартість послуг Учасника) </w:t>
      </w:r>
      <w:r w:rsidR="00E400D7" w:rsidRPr="00E400D7">
        <w:rPr>
          <w:rFonts w:ascii="Times New Roman" w:hAnsi="Times New Roman" w:cs="Times New Roman"/>
          <w:bCs/>
          <w:sz w:val="24"/>
          <w:szCs w:val="24"/>
          <w:lang w:eastAsia="uk-UA"/>
        </w:rPr>
        <w:t>не може бути величиною від’ємною.</w:t>
      </w:r>
      <w:r w:rsidR="00E400D7" w:rsidRPr="00E400D7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2C13C6" w:rsidRPr="00B870D1" w:rsidRDefault="00411321" w:rsidP="002C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0D7">
        <w:rPr>
          <w:rFonts w:ascii="Times New Roman" w:hAnsi="Times New Roman" w:cs="Times New Roman"/>
          <w:sz w:val="24"/>
          <w:szCs w:val="24"/>
        </w:rPr>
        <w:t>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 в електронній системі закупівель "Prozorro".</w:t>
      </w:r>
      <w:r w:rsidR="002C13C6" w:rsidRPr="002C13C6">
        <w:rPr>
          <w:rFonts w:ascii="Times New Roman" w:hAnsi="Times New Roman" w:cs="Times New Roman"/>
          <w:sz w:val="24"/>
          <w:szCs w:val="24"/>
        </w:rPr>
        <w:t xml:space="preserve"> </w:t>
      </w:r>
      <w:r w:rsidR="002C13C6" w:rsidRPr="00B870D1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складає </w:t>
      </w:r>
      <w:r w:rsidR="002C13C6">
        <w:rPr>
          <w:rFonts w:ascii="Times New Roman" w:hAnsi="Times New Roman" w:cs="Times New Roman"/>
          <w:sz w:val="24"/>
          <w:szCs w:val="24"/>
        </w:rPr>
        <w:t>6,69</w:t>
      </w:r>
      <w:r w:rsidR="002C13C6" w:rsidRPr="00B870D1">
        <w:rPr>
          <w:rFonts w:ascii="Times New Roman" w:hAnsi="Times New Roman" w:cs="Times New Roman"/>
          <w:sz w:val="24"/>
          <w:szCs w:val="24"/>
        </w:rPr>
        <w:t xml:space="preserve"> грн. за 1кВт/год. з ПДВ.</w:t>
      </w:r>
    </w:p>
    <w:p w:rsidR="00411321" w:rsidRPr="00E400D7" w:rsidRDefault="00411321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0D7">
        <w:rPr>
          <w:rFonts w:ascii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предмету закупівлі визначена за аналізом споживання електричної енергії на протязі останніх років та проведення розрахунків споживання на наступний період з урахуванням фактичного споживання. </w:t>
      </w:r>
    </w:p>
    <w:p w:rsidR="00411321" w:rsidRPr="00E400D7" w:rsidRDefault="00411321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0D7">
        <w:rPr>
          <w:rFonts w:ascii="Times New Roman" w:eastAsia="Calibri" w:hAnsi="Times New Roman" w:cs="Times New Roman"/>
          <w:sz w:val="24"/>
          <w:szCs w:val="24"/>
        </w:rPr>
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</w:t>
      </w:r>
      <w:r w:rsidRPr="00E400D7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E400D7">
        <w:rPr>
          <w:rFonts w:ascii="Times New Roman" w:eastAsia="Calibri" w:hAnsi="Times New Roman" w:cs="Times New Roman"/>
          <w:sz w:val="24"/>
          <w:szCs w:val="24"/>
        </w:rPr>
        <w:t xml:space="preserve"> «Характеристики напруги електропостачання в електричних мережах загальної призначеності.</w:t>
      </w:r>
      <w:r w:rsidRPr="00E400D7">
        <w:rPr>
          <w:rFonts w:ascii="Times New Roman" w:hAnsi="Times New Roman" w:cs="Times New Roman"/>
          <w:sz w:val="24"/>
          <w:szCs w:val="24"/>
        </w:rPr>
        <w:t xml:space="preserve"> </w:t>
      </w:r>
      <w:r w:rsidRPr="00E400D7">
        <w:rPr>
          <w:rFonts w:ascii="Times New Roman" w:eastAsia="Calibri" w:hAnsi="Times New Roman" w:cs="Times New Roman"/>
          <w:sz w:val="24"/>
          <w:szCs w:val="24"/>
        </w:rPr>
        <w:t>Якісні показники електричної енергії, що постачається Замовнику, повинні відповідати стандарту ГОСТ 13109-97 "Електрична енергія. Сумісність технічних засобів. Норми якості електричної енергії в системах електропостачання загального призначення", Правилам користування електричною енергією.</w:t>
      </w:r>
      <w:r w:rsidRPr="00E400D7">
        <w:rPr>
          <w:rFonts w:ascii="Times New Roman" w:hAnsi="Times New Roman" w:cs="Times New Roman"/>
          <w:sz w:val="24"/>
          <w:szCs w:val="24"/>
        </w:rPr>
        <w:t xml:space="preserve"> Технічні та якісні характеристики мають відповідати: </w:t>
      </w:r>
    </w:p>
    <w:p w:rsidR="00411321" w:rsidRPr="00E400D7" w:rsidRDefault="00411321" w:rsidP="00411321">
      <w:pPr>
        <w:pStyle w:val="a6"/>
        <w:numPr>
          <w:ilvl w:val="0"/>
          <w:numId w:val="6"/>
        </w:numPr>
        <w:ind w:left="426"/>
        <w:jc w:val="both"/>
        <w:rPr>
          <w:lang w:val="uk-UA"/>
        </w:rPr>
      </w:pPr>
      <w:r w:rsidRPr="00E400D7">
        <w:rPr>
          <w:lang w:val="uk-UA"/>
        </w:rPr>
        <w:t>Закон України «Про ринок електричної енергії» від 13.04.2017 № 2019-VIII;</w:t>
      </w:r>
    </w:p>
    <w:p w:rsidR="00411321" w:rsidRPr="00E400D7" w:rsidRDefault="00411321" w:rsidP="00411321">
      <w:pPr>
        <w:pStyle w:val="a6"/>
        <w:numPr>
          <w:ilvl w:val="0"/>
          <w:numId w:val="6"/>
        </w:numPr>
        <w:ind w:left="426"/>
        <w:jc w:val="both"/>
        <w:rPr>
          <w:lang w:val="uk-UA"/>
        </w:rPr>
      </w:pPr>
      <w:r w:rsidRPr="00E400D7">
        <w:rPr>
          <w:lang w:val="uk-UA"/>
        </w:rPr>
        <w:t xml:space="preserve">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послуг, від 14.03.2018 № 312.</w:t>
      </w:r>
    </w:p>
    <w:p w:rsidR="00411321" w:rsidRPr="00E400D7" w:rsidRDefault="00411321" w:rsidP="00411321">
      <w:pPr>
        <w:pStyle w:val="a6"/>
        <w:numPr>
          <w:ilvl w:val="0"/>
          <w:numId w:val="6"/>
        </w:numPr>
        <w:ind w:left="426"/>
        <w:jc w:val="both"/>
        <w:rPr>
          <w:lang w:val="uk-UA"/>
        </w:rPr>
      </w:pPr>
      <w:r w:rsidRPr="00E400D7">
        <w:rPr>
          <w:lang w:val="uk-UA"/>
        </w:rPr>
        <w:t>Кодексом систем передачі електричної енергії (постанова НКРЕКП від 14.03.2018 року № 309);</w:t>
      </w:r>
    </w:p>
    <w:p w:rsidR="00411321" w:rsidRPr="00E400D7" w:rsidRDefault="00411321" w:rsidP="00411321">
      <w:pPr>
        <w:pStyle w:val="a6"/>
        <w:numPr>
          <w:ilvl w:val="0"/>
          <w:numId w:val="6"/>
        </w:numPr>
        <w:ind w:left="426"/>
        <w:jc w:val="both"/>
        <w:rPr>
          <w:lang w:val="uk-UA"/>
        </w:rPr>
      </w:pPr>
      <w:r w:rsidRPr="00E400D7">
        <w:rPr>
          <w:lang w:val="uk-UA"/>
        </w:rPr>
        <w:t>Кодексом систем розподілу електричної енергії (постанова НКРЕКП від 14.03.2018 року № 310);</w:t>
      </w:r>
    </w:p>
    <w:p w:rsidR="00411321" w:rsidRPr="00E400D7" w:rsidRDefault="00411321" w:rsidP="00411321">
      <w:pPr>
        <w:pStyle w:val="a6"/>
        <w:numPr>
          <w:ilvl w:val="0"/>
          <w:numId w:val="6"/>
        </w:numPr>
        <w:ind w:left="426"/>
        <w:jc w:val="both"/>
        <w:rPr>
          <w:lang w:val="uk-UA"/>
        </w:rPr>
      </w:pPr>
      <w:r w:rsidRPr="00E400D7">
        <w:rPr>
          <w:lang w:val="uk-UA"/>
        </w:rPr>
        <w:t>Кодексом комерційного обліку електричної енергії (постанова НКРЕКП від 14.03.2018 року № 311)</w:t>
      </w:r>
    </w:p>
    <w:p w:rsidR="00411321" w:rsidRPr="00E400D7" w:rsidRDefault="00411321">
      <w:pPr>
        <w:rPr>
          <w:sz w:val="24"/>
          <w:szCs w:val="24"/>
        </w:rPr>
      </w:pPr>
    </w:p>
    <w:p w:rsidR="00B870D1" w:rsidRPr="00E400D7" w:rsidRDefault="00B870D1">
      <w:pPr>
        <w:rPr>
          <w:sz w:val="24"/>
          <w:szCs w:val="24"/>
        </w:rPr>
      </w:pPr>
    </w:p>
    <w:sectPr w:rsidR="00B870D1" w:rsidRPr="00E400D7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D3AB9"/>
    <w:rsid w:val="000F2F2A"/>
    <w:rsid w:val="001008E9"/>
    <w:rsid w:val="00111F2F"/>
    <w:rsid w:val="00116CC7"/>
    <w:rsid w:val="0014121A"/>
    <w:rsid w:val="001E1AFD"/>
    <w:rsid w:val="002075BB"/>
    <w:rsid w:val="002359D9"/>
    <w:rsid w:val="002556B2"/>
    <w:rsid w:val="0025737E"/>
    <w:rsid w:val="00290D39"/>
    <w:rsid w:val="002951FE"/>
    <w:rsid w:val="002C13C6"/>
    <w:rsid w:val="002D70E2"/>
    <w:rsid w:val="003138D8"/>
    <w:rsid w:val="00383DB8"/>
    <w:rsid w:val="00394EF6"/>
    <w:rsid w:val="0040386C"/>
    <w:rsid w:val="00411321"/>
    <w:rsid w:val="004478B5"/>
    <w:rsid w:val="004661D0"/>
    <w:rsid w:val="00484CEC"/>
    <w:rsid w:val="004B03B3"/>
    <w:rsid w:val="004B2FE2"/>
    <w:rsid w:val="00563D25"/>
    <w:rsid w:val="0057352C"/>
    <w:rsid w:val="00596813"/>
    <w:rsid w:val="005D0E49"/>
    <w:rsid w:val="005F2A48"/>
    <w:rsid w:val="005F7F45"/>
    <w:rsid w:val="00676D5D"/>
    <w:rsid w:val="00681284"/>
    <w:rsid w:val="0069000A"/>
    <w:rsid w:val="006A2667"/>
    <w:rsid w:val="006B1333"/>
    <w:rsid w:val="00744571"/>
    <w:rsid w:val="00761EAB"/>
    <w:rsid w:val="007745A9"/>
    <w:rsid w:val="00776AB6"/>
    <w:rsid w:val="007874A6"/>
    <w:rsid w:val="007B4685"/>
    <w:rsid w:val="007C3B2E"/>
    <w:rsid w:val="007F709B"/>
    <w:rsid w:val="008047C3"/>
    <w:rsid w:val="008277AE"/>
    <w:rsid w:val="00832E54"/>
    <w:rsid w:val="008612F1"/>
    <w:rsid w:val="008674AA"/>
    <w:rsid w:val="00874268"/>
    <w:rsid w:val="008803BB"/>
    <w:rsid w:val="00907BE3"/>
    <w:rsid w:val="0091120B"/>
    <w:rsid w:val="00955BCE"/>
    <w:rsid w:val="00960CE3"/>
    <w:rsid w:val="009B458B"/>
    <w:rsid w:val="009C0D2D"/>
    <w:rsid w:val="009F466A"/>
    <w:rsid w:val="00A25F6D"/>
    <w:rsid w:val="00A369A6"/>
    <w:rsid w:val="00A54C4B"/>
    <w:rsid w:val="00A9215C"/>
    <w:rsid w:val="00B11AAF"/>
    <w:rsid w:val="00B415B3"/>
    <w:rsid w:val="00B733FF"/>
    <w:rsid w:val="00B870D1"/>
    <w:rsid w:val="00BA0FF8"/>
    <w:rsid w:val="00BB1A0F"/>
    <w:rsid w:val="00BD3FD0"/>
    <w:rsid w:val="00BD6EAC"/>
    <w:rsid w:val="00C11DCC"/>
    <w:rsid w:val="00C16B6D"/>
    <w:rsid w:val="00C5119B"/>
    <w:rsid w:val="00D22379"/>
    <w:rsid w:val="00D57578"/>
    <w:rsid w:val="00D822D4"/>
    <w:rsid w:val="00DC571B"/>
    <w:rsid w:val="00DD312A"/>
    <w:rsid w:val="00E23F24"/>
    <w:rsid w:val="00E24D45"/>
    <w:rsid w:val="00E366B0"/>
    <w:rsid w:val="00E400D7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20-0059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2023-01-13T08:15:00Z</dcterms:created>
  <dcterms:modified xsi:type="dcterms:W3CDTF">2023-01-13T08:15:00Z</dcterms:modified>
</cp:coreProperties>
</file>