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73" w:rsidRDefault="005A4873" w:rsidP="005A4873">
      <w:pPr>
        <w:tabs>
          <w:tab w:val="left" w:pos="2977"/>
        </w:tabs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800100" cy="800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73" w:rsidRDefault="005A4873" w:rsidP="005A4873">
      <w:pPr>
        <w:ind w:right="-185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Переяславська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міська</w:t>
      </w:r>
      <w:proofErr w:type="spellEnd"/>
      <w:r>
        <w:rPr>
          <w:b/>
          <w:sz w:val="28"/>
          <w:szCs w:val="28"/>
        </w:rPr>
        <w:t xml:space="preserve"> рада</w:t>
      </w:r>
    </w:p>
    <w:p w:rsidR="005A4873" w:rsidRDefault="005A4873" w:rsidP="005A4873">
      <w:pPr>
        <w:pStyle w:val="1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Комунальне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ідприємство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Переяславське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виробниче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управління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комунального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господарства</w:t>
      </w:r>
      <w:proofErr w:type="spellEnd"/>
    </w:p>
    <w:p w:rsidR="005A4873" w:rsidRDefault="005A4873" w:rsidP="005A4873">
      <w:pPr>
        <w:rPr>
          <w:sz w:val="24"/>
          <w:szCs w:val="24"/>
        </w:rPr>
      </w:pPr>
    </w:p>
    <w:p w:rsidR="005A4873" w:rsidRPr="00AB758E" w:rsidRDefault="005A4873" w:rsidP="005A4873">
      <w:pPr>
        <w:pBdr>
          <w:top w:val="single" w:sz="4" w:space="1" w:color="auto"/>
          <w:bottom w:val="single" w:sz="4" w:space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8E">
        <w:rPr>
          <w:rFonts w:ascii="Times New Roman" w:hAnsi="Times New Roman" w:cs="Times New Roman"/>
          <w:b/>
          <w:sz w:val="24"/>
          <w:szCs w:val="24"/>
        </w:rPr>
        <w:t xml:space="preserve">08402, </w:t>
      </w:r>
      <w:proofErr w:type="spellStart"/>
      <w:r w:rsidRPr="00AB758E">
        <w:rPr>
          <w:rFonts w:ascii="Times New Roman" w:hAnsi="Times New Roman" w:cs="Times New Roman"/>
          <w:b/>
          <w:sz w:val="24"/>
          <w:szCs w:val="24"/>
        </w:rPr>
        <w:t>Київська</w:t>
      </w:r>
      <w:proofErr w:type="spellEnd"/>
      <w:r w:rsidRPr="00AB758E">
        <w:rPr>
          <w:rFonts w:ascii="Times New Roman" w:hAnsi="Times New Roman" w:cs="Times New Roman"/>
          <w:b/>
          <w:sz w:val="24"/>
          <w:szCs w:val="24"/>
        </w:rPr>
        <w:t xml:space="preserve"> обл., м. Переяслав, </w:t>
      </w:r>
      <w:proofErr w:type="spellStart"/>
      <w:r w:rsidRPr="00AB758E"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 w:rsidRPr="00AB758E">
        <w:rPr>
          <w:rFonts w:ascii="Times New Roman" w:hAnsi="Times New Roman" w:cs="Times New Roman"/>
          <w:b/>
          <w:sz w:val="24"/>
          <w:szCs w:val="24"/>
        </w:rPr>
        <w:t>. Солонці,1, тел. (04567) 5-17-50, ф. 5-38-95</w:t>
      </w:r>
    </w:p>
    <w:p w:rsidR="005A4873" w:rsidRPr="00AB758E" w:rsidRDefault="005A4873" w:rsidP="005A4873">
      <w:pPr>
        <w:pBdr>
          <w:top w:val="single" w:sz="4" w:space="1" w:color="auto"/>
          <w:bottom w:val="single" w:sz="4" w:space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758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B758E">
        <w:rPr>
          <w:rFonts w:ascii="Times New Roman" w:hAnsi="Times New Roman" w:cs="Times New Roman"/>
          <w:b/>
          <w:sz w:val="24"/>
          <w:szCs w:val="24"/>
        </w:rPr>
        <w:t xml:space="preserve">/р </w:t>
      </w:r>
      <w:r w:rsidRPr="00AB758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26006016872301 в</w:t>
      </w:r>
      <w:r w:rsidRPr="00AB758E">
        <w:rPr>
          <w:rFonts w:ascii="Times New Roman" w:hAnsi="Times New Roman" w:cs="Times New Roman"/>
          <w:b/>
          <w:sz w:val="24"/>
          <w:szCs w:val="24"/>
        </w:rPr>
        <w:t xml:space="preserve"> ПАТ «АЛЬФА-БАНК» м. </w:t>
      </w:r>
      <w:proofErr w:type="spellStart"/>
      <w:r w:rsidRPr="00AB758E">
        <w:rPr>
          <w:rFonts w:ascii="Times New Roman" w:hAnsi="Times New Roman" w:cs="Times New Roman"/>
          <w:b/>
          <w:sz w:val="24"/>
          <w:szCs w:val="24"/>
        </w:rPr>
        <w:t>Київ</w:t>
      </w:r>
      <w:proofErr w:type="spellEnd"/>
      <w:r w:rsidRPr="00AB758E">
        <w:rPr>
          <w:rFonts w:ascii="Times New Roman" w:hAnsi="Times New Roman" w:cs="Times New Roman"/>
          <w:b/>
          <w:sz w:val="24"/>
          <w:szCs w:val="24"/>
        </w:rPr>
        <w:t xml:space="preserve">, МФО </w:t>
      </w:r>
      <w:r w:rsidRPr="00AB75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300023, код ЄДРПОУ 05473594</w:t>
      </w:r>
    </w:p>
    <w:p w:rsidR="0080033F" w:rsidRDefault="0080033F" w:rsidP="0080033F">
      <w:pPr>
        <w:rPr>
          <w:sz w:val="20"/>
        </w:rPr>
      </w:pPr>
      <w:r>
        <w:rPr>
          <w:rFonts w:ascii="Times New Roman" w:eastAsia="Times New Roman" w:hAnsi="Times New Roman" w:cs="Times New Roman"/>
          <w:caps/>
          <w:color w:val="004080"/>
          <w:kern w:val="36"/>
          <w:sz w:val="24"/>
          <w:szCs w:val="24"/>
          <w:lang w:val="uk-UA" w:eastAsia="ru-RU"/>
        </w:rPr>
        <w:t xml:space="preserve">     </w:t>
      </w:r>
      <w:proofErr w:type="spellStart"/>
      <w:r>
        <w:rPr>
          <w:sz w:val="20"/>
        </w:rPr>
        <w:t>вих</w:t>
      </w:r>
      <w:proofErr w:type="spellEnd"/>
      <w:r>
        <w:rPr>
          <w:sz w:val="20"/>
        </w:rPr>
        <w:t>. №______</w:t>
      </w:r>
    </w:p>
    <w:p w:rsidR="0080033F" w:rsidRDefault="0080033F" w:rsidP="0080033F">
      <w:pPr>
        <w:rPr>
          <w:sz w:val="20"/>
          <w:szCs w:val="20"/>
        </w:rPr>
      </w:pPr>
      <w:r>
        <w:rPr>
          <w:sz w:val="20"/>
        </w:rPr>
        <w:t xml:space="preserve">“____”________________ </w:t>
      </w:r>
      <w:r>
        <w:rPr>
          <w:sz w:val="18"/>
        </w:rPr>
        <w:t xml:space="preserve">2020р </w:t>
      </w:r>
    </w:p>
    <w:p w:rsidR="0080033F" w:rsidRDefault="0080033F" w:rsidP="0080033F">
      <w:pPr>
        <w:tabs>
          <w:tab w:val="left" w:pos="1766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</w:t>
      </w:r>
    </w:p>
    <w:p w:rsidR="0080033F" w:rsidRDefault="0080033F" w:rsidP="0080033F">
      <w:pPr>
        <w:rPr>
          <w:sz w:val="24"/>
          <w:szCs w:val="24"/>
          <w:u w:val="single"/>
        </w:rPr>
      </w:pPr>
      <w:r>
        <w:t xml:space="preserve">                                                                                           </w:t>
      </w:r>
      <w:r>
        <w:rPr>
          <w:lang w:val="uk-UA"/>
        </w:rPr>
        <w:t xml:space="preserve">                </w:t>
      </w:r>
      <w:r>
        <w:t xml:space="preserve">  </w:t>
      </w:r>
      <w:proofErr w:type="spellStart"/>
      <w:r>
        <w:rPr>
          <w:b/>
          <w:sz w:val="28"/>
          <w:szCs w:val="28"/>
        </w:rPr>
        <w:t>Міському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голові</w:t>
      </w:r>
      <w:proofErr w:type="spellEnd"/>
    </w:p>
    <w:p w:rsidR="0080033F" w:rsidRDefault="0080033F" w:rsidP="0080033F">
      <w:pPr>
        <w:tabs>
          <w:tab w:val="left" w:pos="4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</w:t>
      </w:r>
      <w:proofErr w:type="spellStart"/>
      <w:r>
        <w:rPr>
          <w:b/>
          <w:sz w:val="28"/>
          <w:szCs w:val="28"/>
        </w:rPr>
        <w:t>Костіну</w:t>
      </w:r>
      <w:proofErr w:type="spellEnd"/>
      <w:r>
        <w:rPr>
          <w:b/>
          <w:sz w:val="28"/>
          <w:szCs w:val="28"/>
        </w:rPr>
        <w:t xml:space="preserve"> Т.В.</w:t>
      </w:r>
    </w:p>
    <w:p w:rsidR="0080033F" w:rsidRDefault="0080033F" w:rsidP="0080033F">
      <w:pPr>
        <w:rPr>
          <w:b/>
          <w:sz w:val="32"/>
          <w:szCs w:val="32"/>
        </w:rPr>
      </w:pPr>
    </w:p>
    <w:p w:rsidR="005A4873" w:rsidRPr="0080033F" w:rsidRDefault="0080033F" w:rsidP="00C86D3A">
      <w:pPr>
        <w:spacing w:before="185" w:after="185" w:line="240" w:lineRule="auto"/>
        <w:outlineLvl w:val="0"/>
        <w:rPr>
          <w:rFonts w:ascii="Times New Roman" w:eastAsia="Times New Roman" w:hAnsi="Times New Roman" w:cs="Times New Roman"/>
          <w:caps/>
          <w:color w:val="004080"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aps/>
          <w:color w:val="004080"/>
          <w:kern w:val="36"/>
          <w:sz w:val="24"/>
          <w:szCs w:val="24"/>
          <w:lang w:val="uk-UA" w:eastAsia="ru-RU"/>
        </w:rPr>
        <w:t xml:space="preserve">   </w:t>
      </w:r>
    </w:p>
    <w:p w:rsidR="005A4873" w:rsidRPr="00AB758E" w:rsidRDefault="005A4873" w:rsidP="00C86D3A">
      <w:pPr>
        <w:spacing w:before="185" w:after="185" w:line="240" w:lineRule="auto"/>
        <w:outlineLvl w:val="0"/>
        <w:rPr>
          <w:rFonts w:ascii="Times New Roman" w:eastAsia="Times New Roman" w:hAnsi="Times New Roman" w:cs="Times New Roman"/>
          <w:caps/>
          <w:color w:val="004080"/>
          <w:kern w:val="36"/>
          <w:sz w:val="24"/>
          <w:szCs w:val="24"/>
          <w:lang w:val="uk-UA" w:eastAsia="ru-RU"/>
        </w:rPr>
      </w:pPr>
    </w:p>
    <w:p w:rsidR="005A4873" w:rsidRPr="00AB758E" w:rsidRDefault="005A4873" w:rsidP="00C86D3A">
      <w:pPr>
        <w:spacing w:before="185" w:after="185" w:line="240" w:lineRule="auto"/>
        <w:outlineLvl w:val="0"/>
        <w:rPr>
          <w:rFonts w:ascii="Times New Roman" w:eastAsia="Times New Roman" w:hAnsi="Times New Roman" w:cs="Times New Roman"/>
          <w:caps/>
          <w:color w:val="004080"/>
          <w:kern w:val="36"/>
          <w:sz w:val="24"/>
          <w:szCs w:val="24"/>
          <w:lang w:val="uk-UA" w:eastAsia="ru-RU"/>
        </w:rPr>
      </w:pPr>
    </w:p>
    <w:p w:rsidR="00C86D3A" w:rsidRPr="00165A52" w:rsidRDefault="00870333" w:rsidP="00870333">
      <w:pPr>
        <w:spacing w:before="185" w:after="185" w:line="240" w:lineRule="auto"/>
        <w:ind w:firstLine="708"/>
        <w:outlineLvl w:val="0"/>
        <w:rPr>
          <w:rFonts w:ascii="Times New Roman" w:eastAsia="Times New Roman" w:hAnsi="Times New Roman" w:cs="Times New Roman"/>
          <w:b/>
          <w:caps/>
          <w:color w:val="004080"/>
          <w:kern w:val="36"/>
          <w:sz w:val="24"/>
          <w:szCs w:val="24"/>
          <w:lang w:val="uk-UA" w:eastAsia="ru-RU"/>
        </w:rPr>
      </w:pPr>
      <w:r w:rsidRPr="00165A52">
        <w:rPr>
          <w:rFonts w:ascii="Times New Roman" w:eastAsia="Times New Roman" w:hAnsi="Times New Roman" w:cs="Times New Roman"/>
          <w:b/>
          <w:caps/>
          <w:color w:val="004080"/>
          <w:kern w:val="36"/>
          <w:sz w:val="24"/>
          <w:szCs w:val="24"/>
          <w:lang w:val="uk-UA" w:eastAsia="ru-RU"/>
        </w:rPr>
        <w:t>Кп Переяславське ВУКГ</w:t>
      </w:r>
      <w:r w:rsidR="007C097F" w:rsidRPr="00165A52">
        <w:rPr>
          <w:rFonts w:ascii="Times New Roman" w:eastAsia="Times New Roman" w:hAnsi="Times New Roman" w:cs="Times New Roman"/>
          <w:b/>
          <w:caps/>
          <w:color w:val="004080"/>
          <w:kern w:val="36"/>
          <w:sz w:val="24"/>
          <w:szCs w:val="24"/>
          <w:lang w:eastAsia="ru-RU"/>
        </w:rPr>
        <w:t xml:space="preserve"> ДО 2 СЕРПНЯ МАЄ ВСТАНОВИТИ 165</w:t>
      </w:r>
      <w:r w:rsidR="00C86D3A" w:rsidRPr="00165A52">
        <w:rPr>
          <w:rFonts w:ascii="Times New Roman" w:eastAsia="Times New Roman" w:hAnsi="Times New Roman" w:cs="Times New Roman"/>
          <w:b/>
          <w:caps/>
          <w:color w:val="004080"/>
          <w:kern w:val="36"/>
          <w:sz w:val="24"/>
          <w:szCs w:val="24"/>
          <w:lang w:eastAsia="ru-RU"/>
        </w:rPr>
        <w:t xml:space="preserve"> БУДИНКОВИХ ЛІЧИЛЬНИКІ</w:t>
      </w:r>
      <w:r w:rsidR="00165A52">
        <w:rPr>
          <w:rFonts w:ascii="Times New Roman" w:eastAsia="Times New Roman" w:hAnsi="Times New Roman" w:cs="Times New Roman"/>
          <w:b/>
          <w:caps/>
          <w:color w:val="004080"/>
          <w:kern w:val="36"/>
          <w:sz w:val="24"/>
          <w:szCs w:val="24"/>
          <w:lang w:eastAsia="ru-RU"/>
        </w:rPr>
        <w:t xml:space="preserve">В — </w:t>
      </w:r>
      <w:r w:rsidR="00165A52">
        <w:rPr>
          <w:rFonts w:ascii="Times New Roman" w:eastAsia="Times New Roman" w:hAnsi="Times New Roman" w:cs="Times New Roman"/>
          <w:b/>
          <w:caps/>
          <w:color w:val="004080"/>
          <w:kern w:val="36"/>
          <w:sz w:val="24"/>
          <w:szCs w:val="24"/>
          <w:lang w:val="uk-UA" w:eastAsia="ru-RU"/>
        </w:rPr>
        <w:t xml:space="preserve"> </w:t>
      </w:r>
      <w:r w:rsidR="00165A52" w:rsidRPr="00165A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165A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щодо </w:t>
      </w:r>
      <w:r w:rsidR="00165A52" w:rsidRPr="00165A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виконання</w:t>
      </w:r>
      <w:r w:rsidR="00165A52" w:rsidRPr="00165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</w:t>
      </w:r>
      <w:r w:rsidR="00165A52" w:rsidRPr="00165A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</w:t>
      </w:r>
      <w:r w:rsidR="00165A52" w:rsidRPr="00165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65A52" w:rsidRPr="00165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України</w:t>
      </w:r>
      <w:proofErr w:type="spellEnd"/>
      <w:r w:rsidR="00165A52" w:rsidRPr="00165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 </w:t>
      </w:r>
      <w:proofErr w:type="spellStart"/>
      <w:r w:rsidR="00165A52" w:rsidRPr="00165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комерційний</w:t>
      </w:r>
      <w:proofErr w:type="spellEnd"/>
      <w:r w:rsidR="00165A52" w:rsidRPr="00165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65A52" w:rsidRPr="00165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облік</w:t>
      </w:r>
      <w:proofErr w:type="spellEnd"/>
      <w:r w:rsidR="00165A52" w:rsidRPr="00165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65A52" w:rsidRPr="00165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теплової</w:t>
      </w:r>
      <w:proofErr w:type="spellEnd"/>
      <w:r w:rsidR="00165A52" w:rsidRPr="00165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65A52" w:rsidRPr="00165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енергії</w:t>
      </w:r>
      <w:proofErr w:type="spellEnd"/>
      <w:r w:rsidR="00165A52" w:rsidRPr="00165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="00165A52" w:rsidRPr="00165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водопостачання</w:t>
      </w:r>
      <w:proofErr w:type="spellEnd"/>
      <w:r w:rsidR="00165A52" w:rsidRPr="00165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65A52" w:rsidRPr="00165A52">
        <w:rPr>
          <w:rFonts w:ascii="Times New Roman" w:eastAsia="Times New Roman" w:hAnsi="Times New Roman" w:cs="Times New Roman"/>
          <w:b/>
          <w:caps/>
          <w:color w:val="004080"/>
          <w:kern w:val="36"/>
          <w:sz w:val="24"/>
          <w:szCs w:val="24"/>
          <w:lang w:val="uk-UA" w:eastAsia="ru-RU"/>
        </w:rPr>
        <w:t xml:space="preserve"> </w:t>
      </w:r>
      <w:r w:rsidR="009C735E" w:rsidRPr="00165A52">
        <w:rPr>
          <w:rFonts w:ascii="Times New Roman" w:eastAsia="Times New Roman" w:hAnsi="Times New Roman" w:cs="Times New Roman"/>
          <w:b/>
          <w:caps/>
          <w:color w:val="004080"/>
          <w:kern w:val="36"/>
          <w:sz w:val="24"/>
          <w:szCs w:val="24"/>
          <w:lang w:val="uk-UA" w:eastAsia="ru-RU"/>
        </w:rPr>
        <w:t>.</w:t>
      </w:r>
    </w:p>
    <w:p w:rsidR="00C86D3A" w:rsidRPr="00AB758E" w:rsidRDefault="009C735E" w:rsidP="008703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КП Переяславське ВУКГ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має</w:t>
      </w:r>
      <w:proofErr w:type="spellEnd"/>
      <w:r w:rsidR="00165A5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фінансових можливостей</w:t>
      </w:r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обов’язкове</w:t>
      </w:r>
      <w:proofErr w:type="spellEnd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встановлення</w:t>
      </w:r>
      <w:proofErr w:type="spellEnd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лічильників</w:t>
      </w:r>
      <w:proofErr w:type="spellEnd"/>
      <w:r w:rsidR="00165A5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на воду</w:t>
      </w:r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2 </w:t>
      </w:r>
      <w:proofErr w:type="spellStart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серпня</w:t>
      </w:r>
      <w:proofErr w:type="spellEnd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</w:t>
      </w:r>
      <w:proofErr w:type="spellEnd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призвести</w:t>
      </w:r>
      <w:proofErr w:type="spellEnd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штрафних</w:t>
      </w:r>
      <w:proofErr w:type="spellEnd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санкцій</w:t>
      </w:r>
      <w:proofErr w:type="spellEnd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Паралельно</w:t>
      </w:r>
      <w:proofErr w:type="spellEnd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із</w:t>
      </w:r>
      <w:proofErr w:type="spellEnd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цим</w:t>
      </w:r>
      <w:proofErr w:type="spellEnd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споживачі</w:t>
      </w:r>
      <w:proofErr w:type="spellEnd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мають</w:t>
      </w:r>
      <w:proofErr w:type="spellEnd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визначитись</w:t>
      </w:r>
      <w:proofErr w:type="spellEnd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хто</w:t>
      </w:r>
      <w:proofErr w:type="spellEnd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саме</w:t>
      </w:r>
      <w:proofErr w:type="spellEnd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їм</w:t>
      </w:r>
      <w:proofErr w:type="spellEnd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установить </w:t>
      </w:r>
      <w:proofErr w:type="spellStart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будинковий</w:t>
      </w:r>
      <w:proofErr w:type="spellEnd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лічильник</w:t>
      </w:r>
      <w:proofErr w:type="spellEnd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чого</w:t>
      </w:r>
      <w:proofErr w:type="spellEnd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залежатиме</w:t>
      </w:r>
      <w:proofErr w:type="spellEnd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його</w:t>
      </w:r>
      <w:proofErr w:type="spellEnd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остаточна</w:t>
      </w:r>
      <w:proofErr w:type="spellEnd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вартість</w:t>
      </w:r>
      <w:proofErr w:type="spellEnd"/>
    </w:p>
    <w:p w:rsidR="00C86D3A" w:rsidRPr="00AB758E" w:rsidRDefault="009C735E" w:rsidP="009C735E">
      <w:pPr>
        <w:spacing w:before="185" w:after="18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КП Переяславське ВУКГ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ається</w:t>
      </w:r>
      <w:proofErr w:type="spellEnd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ереяслава</w:t>
      </w:r>
      <w:proofErr w:type="spellEnd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районних</w:t>
      </w:r>
      <w:proofErr w:type="spellEnd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рад) про </w:t>
      </w:r>
      <w:proofErr w:type="spellStart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необхідність</w:t>
      </w:r>
      <w:proofErr w:type="spellEnd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виділення</w:t>
      </w:r>
      <w:proofErr w:type="spellEnd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бюджетів</w:t>
      </w:r>
      <w:proofErr w:type="spellEnd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лічильників</w:t>
      </w:r>
      <w:proofErr w:type="spellEnd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комерційного</w:t>
      </w:r>
      <w:proofErr w:type="spellEnd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водопостачання</w:t>
      </w:r>
      <w:proofErr w:type="spellEnd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ідприємство</w:t>
      </w:r>
      <w:proofErr w:type="spellEnd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облаштувати</w:t>
      </w:r>
      <w:proofErr w:type="spellEnd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загальнобудинковими</w:t>
      </w:r>
      <w:proofErr w:type="spellEnd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лічильниками</w:t>
      </w:r>
      <w:proofErr w:type="spellEnd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165</w:t>
      </w:r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86D3A"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будинків</w:t>
      </w:r>
      <w:proofErr w:type="spellEnd"/>
      <w:r w:rsidR="00165A5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із них 72 будинки де більше 10 абонентів</w:t>
      </w:r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сьогоднішній</w:t>
      </w:r>
      <w:proofErr w:type="spellEnd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потребує</w:t>
      </w:r>
      <w:proofErr w:type="spellEnd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65A5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значних фінансів</w:t>
      </w:r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наразі</w:t>
      </w:r>
      <w:proofErr w:type="spellEnd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водоканал </w:t>
      </w:r>
      <w:proofErr w:type="spellStart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немає</w:t>
      </w:r>
      <w:proofErr w:type="spellEnd"/>
      <w:r w:rsidR="00C86D3A"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C86D3A" w:rsidRPr="00AB758E" w:rsidRDefault="00C86D3A" w:rsidP="00870333">
      <w:pPr>
        <w:spacing w:before="185" w:after="18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Нагадаємо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року набрав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комерційний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теплової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водопостачання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засади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комерційного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розподільного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теплової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гарячої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води,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централізованого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водопостачання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відповідною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обліковою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інформацією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споживачів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D3A" w:rsidRPr="00AB758E" w:rsidRDefault="00C86D3A" w:rsidP="00870333">
      <w:pPr>
        <w:spacing w:before="185" w:after="18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Завдяки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забезпеченню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холодного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водопостачання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сплачуватимуть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спожиті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D3A" w:rsidRPr="009C735E" w:rsidRDefault="00C86D3A" w:rsidP="00644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9999"/>
          <w:sz w:val="24"/>
          <w:szCs w:val="24"/>
          <w:lang w:eastAsia="ru-RU"/>
        </w:rPr>
      </w:pPr>
      <w:r w:rsidRPr="009C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 </w:t>
      </w:r>
      <w:proofErr w:type="spellStart"/>
      <w:r w:rsidRPr="009C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передбачає</w:t>
      </w:r>
      <w:proofErr w:type="spellEnd"/>
      <w:r w:rsidRPr="009C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C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обов’язкове</w:t>
      </w:r>
      <w:proofErr w:type="spellEnd"/>
      <w:r w:rsidRPr="009C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C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встановлення</w:t>
      </w:r>
      <w:proofErr w:type="spellEnd"/>
      <w:r w:rsidRPr="009C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86D3A" w:rsidRPr="00AB758E" w:rsidRDefault="00C86D3A" w:rsidP="00C86D3A">
      <w:pPr>
        <w:numPr>
          <w:ilvl w:val="0"/>
          <w:numId w:val="1"/>
        </w:numPr>
        <w:spacing w:before="185" w:after="185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вузлів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комерційного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загальнобудинкових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приладів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холодної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для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багатоквартирних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житлових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будинків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3-х</w:t>
      </w:r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 і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86D3A" w:rsidRPr="00AB758E" w:rsidRDefault="00C86D3A" w:rsidP="00C86D3A">
      <w:pPr>
        <w:numPr>
          <w:ilvl w:val="0"/>
          <w:numId w:val="1"/>
        </w:numPr>
        <w:spacing w:before="185" w:after="185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вузлів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розподільного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квартирних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лічильників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індивідуального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споживання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води.</w:t>
      </w:r>
    </w:p>
    <w:p w:rsidR="00C86D3A" w:rsidRPr="00AB758E" w:rsidRDefault="00C86D3A" w:rsidP="00C86D3A">
      <w:pPr>
        <w:spacing w:before="185" w:after="1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Загальнобудинкові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лічильники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C7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spellStart"/>
      <w:proofErr w:type="gramStart"/>
      <w:r w:rsidR="009C7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="009C7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ізніше</w:t>
      </w:r>
      <w:proofErr w:type="spellEnd"/>
      <w:r w:rsidR="009C7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</w:t>
      </w:r>
      <w:proofErr w:type="spellStart"/>
      <w:r w:rsidR="009C7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серпня</w:t>
      </w:r>
      <w:proofErr w:type="spellEnd"/>
      <w:r w:rsidR="009C7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9C73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</w:t>
      </w:r>
      <w:r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року</w:t>
      </w:r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D3A" w:rsidRPr="00AB758E" w:rsidRDefault="00C86D3A" w:rsidP="00C86D3A">
      <w:pPr>
        <w:spacing w:before="185" w:after="1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заплатити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ічильники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Є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6D3A" w:rsidRPr="00AB758E" w:rsidRDefault="00C86D3A" w:rsidP="00C86D3A">
      <w:pPr>
        <w:numPr>
          <w:ilvl w:val="0"/>
          <w:numId w:val="2"/>
        </w:numPr>
        <w:spacing w:before="185" w:after="185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ічильник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зовнішніх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інженерних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мереж, а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відшкодовують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6D3A" w:rsidRPr="00AB758E" w:rsidRDefault="00C86D3A" w:rsidP="00C86D3A">
      <w:pPr>
        <w:numPr>
          <w:ilvl w:val="0"/>
          <w:numId w:val="2"/>
        </w:numPr>
        <w:spacing w:before="185" w:after="185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обирають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купують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лічильник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встановити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зовнішніх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інженерних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мереж;</w:t>
      </w:r>
    </w:p>
    <w:p w:rsidR="00C86D3A" w:rsidRPr="00AB758E" w:rsidRDefault="00C86D3A" w:rsidP="00C86D3A">
      <w:pPr>
        <w:numPr>
          <w:ilvl w:val="0"/>
          <w:numId w:val="2"/>
        </w:numPr>
        <w:spacing w:before="185" w:after="185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обирають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купують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лічильник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встановлюють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6D3A" w:rsidRPr="00AB758E" w:rsidRDefault="00C86D3A" w:rsidP="00C86D3A">
      <w:pPr>
        <w:numPr>
          <w:ilvl w:val="0"/>
          <w:numId w:val="2"/>
        </w:numPr>
        <w:spacing w:before="185" w:after="185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лічильників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фінансують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D3A" w:rsidRPr="00AB758E" w:rsidRDefault="00C86D3A" w:rsidP="006443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Тому проблему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</w:t>
      </w:r>
      <w:r w:rsidR="003963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лення</w:t>
      </w:r>
      <w:proofErr w:type="spellEnd"/>
      <w:r w:rsidR="0039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630D">
        <w:rPr>
          <w:rFonts w:ascii="Times New Roman" w:eastAsia="Times New Roman" w:hAnsi="Times New Roman" w:cs="Times New Roman"/>
          <w:sz w:val="24"/>
          <w:szCs w:val="24"/>
          <w:lang w:eastAsia="ru-RU"/>
        </w:rPr>
        <w:t>лічильників</w:t>
      </w:r>
      <w:proofErr w:type="spellEnd"/>
      <w:r w:rsidR="0039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63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 можливість</w:t>
      </w:r>
      <w:r w:rsidR="0039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96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</w:t>
      </w:r>
      <w:r w:rsidR="003963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ЖКГ-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з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огляду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те,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вони не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72F4C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ають</w:t>
      </w:r>
      <w:proofErr w:type="spellEnd"/>
      <w:r w:rsidR="0077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72F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="0077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до 2 </w:t>
      </w:r>
      <w:proofErr w:type="spellStart"/>
      <w:r w:rsidR="00772F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="0077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72F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proofErr w:type="gram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ічильники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D3A" w:rsidRPr="00AB758E" w:rsidRDefault="00C86D3A" w:rsidP="00870333">
      <w:pPr>
        <w:spacing w:before="185" w:after="18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невиконання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на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накладуть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санкції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арештують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достеменно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репресій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ніхто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наразі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знає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уникн</w:t>
      </w:r>
      <w:r w:rsidR="003963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</w:t>
      </w:r>
      <w:proofErr w:type="spellEnd"/>
      <w:r w:rsidR="0039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перспектив </w:t>
      </w:r>
      <w:r w:rsidR="003963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КП Переяславське ВУКГ</w:t>
      </w:r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попереди</w:t>
      </w:r>
      <w:r w:rsidR="0039630D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="0039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6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="0039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6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споживачів</w:t>
      </w:r>
      <w:proofErr w:type="spellEnd"/>
      <w:r w:rsidR="0039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9630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39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3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поетапно</w:t>
      </w:r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лічильників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Скоріше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все,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банківських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кредитів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строком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5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(максимум).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="00396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="0039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напевно, </w:t>
      </w:r>
      <w:bookmarkStart w:id="0" w:name="_GoBack"/>
      <w:bookmarkEnd w:id="0"/>
      <w:r w:rsidR="003963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найкращий</w:t>
      </w:r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кредиті</w:t>
      </w:r>
      <w:proofErr w:type="gram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gram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потім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оплатять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Втім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забуваємо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вибрати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встановити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лічильник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96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</w:t>
      </w:r>
      <w:proofErr w:type="spellEnd"/>
      <w:r w:rsidRPr="00396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 </w:t>
      </w:r>
      <w:proofErr w:type="spellStart"/>
      <w:r w:rsidRPr="00396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найдешевшим</w:t>
      </w:r>
      <w:proofErr w:type="spellEnd"/>
      <w:r w:rsidRPr="00396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способом</w:t>
      </w:r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D3A" w:rsidRPr="00AB758E" w:rsidRDefault="00C86D3A" w:rsidP="00C86D3A">
      <w:pPr>
        <w:spacing w:before="185" w:after="185" w:line="240" w:lineRule="auto"/>
        <w:outlineLvl w:val="1"/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</w:pPr>
      <w:r w:rsidRPr="00AB758E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 xml:space="preserve">Але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чи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готові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споживачі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виконувати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 xml:space="preserve"> закон?</w:t>
      </w:r>
    </w:p>
    <w:p w:rsidR="00772F4C" w:rsidRDefault="00C86D3A" w:rsidP="00C86D3A">
      <w:pPr>
        <w:spacing w:before="185" w:after="18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враховувати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C86D3A" w:rsidRPr="00AB758E" w:rsidRDefault="00C86D3A" w:rsidP="00C86D3A">
      <w:pPr>
        <w:spacing w:before="185" w:after="1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Перший фактор</w:t>
      </w:r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політичного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бажання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місцях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на </w:t>
      </w:r>
      <w:proofErr w:type="spellStart"/>
      <w:proofErr w:type="gram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центральної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реалізовувати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 «Про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комерційний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теплової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водопостачання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Небажання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базується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негативному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сприйнятті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більшістю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виборців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потім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обирають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партії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політикі</w:t>
      </w:r>
      <w:proofErr w:type="gram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дослухаються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комунальних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побажань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D3A" w:rsidRPr="00AB758E" w:rsidRDefault="00C86D3A" w:rsidP="00C86D3A">
      <w:pPr>
        <w:spacing w:before="185" w:after="1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Другий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фактор</w:t>
      </w:r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існує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негативне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сприйняття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споживачів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75%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споживачів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лічильники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води. Вони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сплачують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себе,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за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(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аварій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сплачує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решта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мешканців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ситуація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влаштовує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більшість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будинок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матиме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індивідуальних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лічильників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при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загальнобудинкового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лічильника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спливе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невідповідність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показників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лічильників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показниками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загальнобудинкового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Хтось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споживачі</w:t>
      </w:r>
      <w:proofErr w:type="gram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застосовувати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магніт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загальмувати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роботу</w:t>
      </w:r>
      <w:proofErr w:type="gram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лічильника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мешканці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змушені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з’ясовувати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краде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воду. </w:t>
      </w:r>
      <w:proofErr w:type="gram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такому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особливо в ОСББ,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вивішувати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поквартирні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списки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вказаним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об’ємом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спожитої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води.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Сусіди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дізнатися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окремої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кубометр води,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санітарна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споживання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на одну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людину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2,5-3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кубометри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Особливо, коли у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цій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проживає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gram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</w:t>
      </w:r>
      <w:proofErr w:type="spellEnd"/>
      <w:proofErr w:type="gram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переосмислення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ідходу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користується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магнітом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є «красавцем,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обманює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несправедливу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державу».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співвласники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дійти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висновку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крадій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перекладає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фінансовий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тягар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загалом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такого.</w:t>
      </w:r>
    </w:p>
    <w:p w:rsidR="00C86D3A" w:rsidRPr="00AB758E" w:rsidRDefault="00C86D3A" w:rsidP="006443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занурюючись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</w:t>
      </w:r>
      <w:proofErr w:type="gram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4B4D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proofErr w:type="gram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аморфне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порадити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споживачам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встановлювати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лічильник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домовитись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монополістом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кредитний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вигіднішим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скаржитись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на орган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на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Верховну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Раду, яка і є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законотворчим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органом.</w:t>
      </w:r>
    </w:p>
    <w:p w:rsidR="00C86D3A" w:rsidRPr="00AB758E" w:rsidRDefault="00C86D3A" w:rsidP="00772F4C">
      <w:pPr>
        <w:spacing w:before="185" w:after="18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 й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4B4D9A">
        <w:rPr>
          <w:rFonts w:ascii="Times New Roman" w:eastAsia="Times New Roman" w:hAnsi="Times New Roman" w:cs="Times New Roman"/>
          <w:sz w:val="24"/>
          <w:szCs w:val="24"/>
          <w:lang w:eastAsia="ru-RU"/>
        </w:rPr>
        <w:t>нший</w:t>
      </w:r>
      <w:proofErr w:type="spellEnd"/>
      <w:r w:rsidR="004B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нюанс. </w:t>
      </w:r>
      <w:proofErr w:type="spellStart"/>
      <w:r w:rsidR="004B4D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Депутати</w:t>
      </w:r>
      <w:proofErr w:type="spellEnd"/>
      <w:r w:rsidR="004B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spellStart"/>
      <w:r w:rsidR="004B4D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ереяславської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міськради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>ебажанням</w:t>
      </w:r>
      <w:proofErr w:type="spellEnd"/>
      <w:r w:rsid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фінансово</w:t>
      </w:r>
      <w:proofErr w:type="spellEnd"/>
      <w:r w:rsid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допомогти</w:t>
      </w:r>
      <w:proofErr w:type="spellEnd"/>
      <w:r w:rsid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1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КП ВУКГ</w:t>
      </w:r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лічиль</w:t>
      </w:r>
      <w:r w:rsid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ників</w:t>
      </w:r>
      <w:proofErr w:type="spellEnd"/>
      <w:r w:rsid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</w:t>
      </w:r>
      <w:proofErr w:type="spellEnd"/>
      <w:r w:rsid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влада</w:t>
      </w:r>
      <w:proofErr w:type="spellEnd"/>
      <w:r w:rsid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ідштовхує</w:t>
      </w:r>
      <w:proofErr w:type="spellEnd"/>
      <w:r w:rsidR="00FC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1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підприємство</w:t>
      </w:r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того,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перекласти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фінансовий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тягар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споживачів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змінювати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виконувати</w:t>
      </w:r>
      <w:proofErr w:type="spellEnd"/>
      <w:r w:rsidRPr="00AB7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D3A" w:rsidRPr="00AB758E" w:rsidRDefault="00C86D3A" w:rsidP="00C86D3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AB758E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.</w:t>
      </w:r>
    </w:p>
    <w:p w:rsidR="00C86D3A" w:rsidRPr="00AB758E" w:rsidRDefault="00C86D3A" w:rsidP="00C86D3A">
      <w:pPr>
        <w:shd w:val="clear" w:color="auto" w:fill="FAF7F0"/>
        <w:spacing w:after="185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E3B34"/>
          <w:sz w:val="24"/>
          <w:szCs w:val="24"/>
          <w:lang w:eastAsia="ru-RU"/>
        </w:rPr>
      </w:pPr>
      <w:r w:rsidRPr="00AB758E">
        <w:rPr>
          <w:rFonts w:ascii="Times New Roman" w:eastAsia="Times New Roman" w:hAnsi="Times New Roman" w:cs="Times New Roman"/>
          <w:b/>
          <w:bCs/>
          <w:caps/>
          <w:color w:val="3E3B34"/>
          <w:sz w:val="24"/>
          <w:szCs w:val="24"/>
          <w:lang w:eastAsia="ru-RU"/>
        </w:rPr>
        <w:t>МАТЕРІАЛИ ПО ТЕМІ:</w:t>
      </w:r>
    </w:p>
    <w:p w:rsidR="00C86D3A" w:rsidRPr="00AB758E" w:rsidRDefault="00101F08" w:rsidP="00C86D3A">
      <w:pPr>
        <w:numPr>
          <w:ilvl w:val="0"/>
          <w:numId w:val="3"/>
        </w:numPr>
        <w:shd w:val="clear" w:color="auto" w:fill="FAF7F0"/>
        <w:spacing w:before="185" w:after="185" w:line="240" w:lineRule="auto"/>
        <w:ind w:left="480"/>
        <w:rPr>
          <w:rFonts w:ascii="Times New Roman" w:eastAsia="Times New Roman" w:hAnsi="Times New Roman" w:cs="Times New Roman"/>
          <w:color w:val="3E3B34"/>
          <w:sz w:val="24"/>
          <w:szCs w:val="24"/>
          <w:lang w:eastAsia="ru-RU"/>
        </w:rPr>
      </w:pPr>
      <w:hyperlink r:id="rId7" w:history="1"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proofErr w:type="spellStart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Полтававодоканал</w:t>
        </w:r>
        <w:proofErr w:type="spellEnd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» до 2 </w:t>
        </w:r>
        <w:proofErr w:type="spellStart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серпня</w:t>
        </w:r>
        <w:proofErr w:type="spellEnd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має</w:t>
        </w:r>
        <w:proofErr w:type="spellEnd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встановити</w:t>
        </w:r>
        <w:proofErr w:type="spellEnd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1650 </w:t>
        </w:r>
        <w:proofErr w:type="spellStart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будинкових</w:t>
        </w:r>
        <w:proofErr w:type="spellEnd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лічильників</w:t>
        </w:r>
        <w:proofErr w:type="spellEnd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— для </w:t>
        </w:r>
        <w:proofErr w:type="spellStart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цього</w:t>
        </w:r>
        <w:proofErr w:type="spellEnd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потрібно</w:t>
        </w:r>
        <w:proofErr w:type="spellEnd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знайти</w:t>
        </w:r>
        <w:proofErr w:type="spellEnd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70 </w:t>
        </w:r>
        <w:proofErr w:type="gramStart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млн</w:t>
        </w:r>
        <w:proofErr w:type="gramEnd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грн</w:t>
        </w:r>
        <w:proofErr w:type="spellEnd"/>
      </w:hyperlink>
      <w:r w:rsidR="00C86D3A" w:rsidRPr="00AB758E">
        <w:rPr>
          <w:rFonts w:ascii="Times New Roman" w:eastAsia="Times New Roman" w:hAnsi="Times New Roman" w:cs="Times New Roman"/>
          <w:color w:val="3E3B34"/>
          <w:sz w:val="24"/>
          <w:szCs w:val="24"/>
          <w:lang w:eastAsia="ru-RU"/>
        </w:rPr>
        <w:t> </w:t>
      </w:r>
      <w:r w:rsidR="00C86D3A" w:rsidRPr="00AB758E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 xml:space="preserve">13 </w:t>
      </w:r>
      <w:proofErr w:type="spellStart"/>
      <w:r w:rsidR="00C86D3A" w:rsidRPr="00AB758E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червня</w:t>
      </w:r>
      <w:proofErr w:type="spellEnd"/>
      <w:r w:rsidR="00C86D3A" w:rsidRPr="00AB758E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 xml:space="preserve"> 2019, 20:34</w:t>
      </w:r>
    </w:p>
    <w:p w:rsidR="00C86D3A" w:rsidRPr="00AB758E" w:rsidRDefault="00101F08" w:rsidP="00C86D3A">
      <w:pPr>
        <w:numPr>
          <w:ilvl w:val="0"/>
          <w:numId w:val="3"/>
        </w:numPr>
        <w:shd w:val="clear" w:color="auto" w:fill="FAF7F0"/>
        <w:spacing w:before="185" w:line="240" w:lineRule="auto"/>
        <w:ind w:left="480"/>
        <w:rPr>
          <w:rFonts w:ascii="Times New Roman" w:eastAsia="Times New Roman" w:hAnsi="Times New Roman" w:cs="Times New Roman"/>
          <w:color w:val="3E3B34"/>
          <w:sz w:val="24"/>
          <w:szCs w:val="24"/>
          <w:lang w:eastAsia="ru-RU"/>
        </w:rPr>
      </w:pPr>
      <w:hyperlink r:id="rId8" w:history="1">
        <w:proofErr w:type="spellStart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Сергій</w:t>
        </w:r>
        <w:proofErr w:type="spellEnd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Каплін</w:t>
        </w:r>
        <w:proofErr w:type="spellEnd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 «</w:t>
        </w:r>
        <w:proofErr w:type="spellStart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Продовжую</w:t>
        </w:r>
        <w:proofErr w:type="spellEnd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боротися</w:t>
        </w:r>
        <w:proofErr w:type="spellEnd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</w:t>
        </w:r>
        <w:proofErr w:type="spellEnd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загальнобудинкових</w:t>
        </w:r>
        <w:proofErr w:type="spellEnd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лічильникі</w:t>
        </w:r>
        <w:proofErr w:type="gramStart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</w:t>
        </w:r>
        <w:proofErr w:type="spellEnd"/>
        <w:proofErr w:type="gramEnd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 воду. </w:t>
        </w:r>
        <w:proofErr w:type="spellStart"/>
        <w:proofErr w:type="gramStart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</w:t>
        </w:r>
        <w:proofErr w:type="gramEnd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</w:t>
        </w:r>
        <w:proofErr w:type="spellEnd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народні</w:t>
        </w:r>
        <w:proofErr w:type="spellEnd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місцеві</w:t>
        </w:r>
        <w:proofErr w:type="spellEnd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депутати</w:t>
        </w:r>
        <w:proofErr w:type="spellEnd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прокидайтеся</w:t>
        </w:r>
        <w:proofErr w:type="spellEnd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і </w:t>
        </w:r>
        <w:proofErr w:type="spellStart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приєднуйтесь</w:t>
        </w:r>
        <w:proofErr w:type="spellEnd"/>
        <w:r w:rsidR="00C86D3A" w:rsidRPr="00AB75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!»</w:t>
        </w:r>
      </w:hyperlink>
      <w:r w:rsidR="00C86D3A" w:rsidRPr="00AB758E">
        <w:rPr>
          <w:rFonts w:ascii="Times New Roman" w:eastAsia="Times New Roman" w:hAnsi="Times New Roman" w:cs="Times New Roman"/>
          <w:color w:val="3E3B34"/>
          <w:sz w:val="24"/>
          <w:szCs w:val="24"/>
          <w:lang w:eastAsia="ru-RU"/>
        </w:rPr>
        <w:t> </w:t>
      </w:r>
      <w:r w:rsidR="00C86D3A" w:rsidRPr="00AB758E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 xml:space="preserve">19 </w:t>
      </w:r>
      <w:proofErr w:type="spellStart"/>
      <w:r w:rsidR="00C86D3A" w:rsidRPr="00AB758E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серпня</w:t>
      </w:r>
      <w:proofErr w:type="spellEnd"/>
      <w:r w:rsidR="00C86D3A" w:rsidRPr="00AB758E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 xml:space="preserve"> 2019, 21:48</w:t>
      </w:r>
    </w:p>
    <w:p w:rsidR="00EE4A5A" w:rsidRPr="00AB758E" w:rsidRDefault="00EE4A5A" w:rsidP="00EE4A5A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4254FE"/>
          <w:sz w:val="24"/>
          <w:szCs w:val="24"/>
          <w:u w:val="single"/>
          <w:lang w:val="uk-UA" w:eastAsia="ru-RU"/>
        </w:rPr>
      </w:pPr>
    </w:p>
    <w:p w:rsidR="00EE4A5A" w:rsidRPr="00AB758E" w:rsidRDefault="00EE4A5A" w:rsidP="00EE4A5A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B75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Методика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розподілу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вступила в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дію</w:t>
      </w:r>
      <w:proofErr w:type="spellEnd"/>
    </w:p>
    <w:p w:rsidR="00EE4A5A" w:rsidRPr="00AB758E" w:rsidRDefault="00EE4A5A" w:rsidP="00772F4C">
      <w:pPr>
        <w:shd w:val="clear" w:color="auto" w:fill="FFFFFF"/>
        <w:spacing w:after="33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У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відповідності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до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вимог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Закону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України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«Про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комерційний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proofErr w:type="gramStart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обл</w:t>
      </w:r>
      <w:proofErr w:type="gramEnd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ік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теплової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енергії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та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водопостачання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»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мешканці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будинку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як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власники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цілісного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майнового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комплексу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мають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сплачувати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за весь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обсяг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води,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який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був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наданий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до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споживання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всього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будинку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</w:t>
      </w:r>
    </w:p>
    <w:p w:rsidR="00EE4A5A" w:rsidRPr="00AB758E" w:rsidRDefault="00EE4A5A" w:rsidP="00772F4C">
      <w:pPr>
        <w:shd w:val="clear" w:color="auto" w:fill="FFFFFF"/>
        <w:spacing w:after="33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Розподіл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обсягів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спожитих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послуг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у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буді</w:t>
      </w:r>
      <w:proofErr w:type="gramStart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вл</w:t>
      </w:r>
      <w:proofErr w:type="gramEnd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і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здійснюється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згідно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«Методики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розподілу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між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споживачами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обсягів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спожитих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будівлі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комунальних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послуг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», яка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затверджена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наказом №315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від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22.11.2018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Міністерства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регіонального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розвитку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будівництва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та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житлово-комунального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господарства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України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та введена в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дію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 25.01.2019 року.</w:t>
      </w:r>
    </w:p>
    <w:p w:rsidR="00EE4A5A" w:rsidRPr="00AB758E" w:rsidRDefault="00EE4A5A" w:rsidP="00772F4C">
      <w:pPr>
        <w:shd w:val="clear" w:color="auto" w:fill="FFFFFF"/>
        <w:spacing w:after="330" w:line="240" w:lineRule="auto"/>
        <w:ind w:firstLine="2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Серед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основних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принципів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що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застосовує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Методика, – принцип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визначення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та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розподілу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небалансу – </w:t>
      </w:r>
      <w:proofErr w:type="spellStart"/>
      <w:proofErr w:type="gram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</w:t>
      </w:r>
      <w:proofErr w:type="gram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ізниці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між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обсягом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холодної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води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зафіксований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загальнобудинковим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лічильником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та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сумарним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обсягом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спожитої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холодної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води за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показниками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квартирних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лічильників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EE4A5A" w:rsidRPr="00AB758E" w:rsidRDefault="00EE4A5A" w:rsidP="00EE4A5A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lastRenderedPageBreak/>
        <w:t xml:space="preserve">для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будинків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, де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усі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приміщення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оснащені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proofErr w:type="gramStart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л</w:t>
      </w:r>
      <w:proofErr w:type="gramEnd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ічильниками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холодної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води,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обсяг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небалансу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розподіляється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між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усіма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споживачами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пропорційно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до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обсягу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споживання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EE4A5A" w:rsidRPr="00AB758E" w:rsidRDefault="00EE4A5A" w:rsidP="00EE4A5A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для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будинків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, де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частина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приміщень</w:t>
      </w:r>
      <w:proofErr w:type="spellEnd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не </w:t>
      </w:r>
      <w:proofErr w:type="gramStart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оснащена</w:t>
      </w:r>
      <w:proofErr w:type="gramEnd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лічильниками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холодної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води,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обсяг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небалансу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розподіляється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між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споживачами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які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не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мають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лічильників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пропорційно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до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кількості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осіб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які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фактично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користуються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послугами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EE4A5A" w:rsidRPr="00AB758E" w:rsidRDefault="00EE4A5A" w:rsidP="00FC0109">
      <w:pPr>
        <w:shd w:val="clear" w:color="auto" w:fill="FFFFFF"/>
        <w:spacing w:after="330" w:line="240" w:lineRule="auto"/>
        <w:ind w:firstLine="2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Для кожного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будинку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Методикою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встановлюється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proofErr w:type="gram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</w:t>
      </w:r>
      <w:proofErr w:type="gram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ій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розрахунковий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період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на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кінцеву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дату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якого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проводиться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зняття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показників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комерційного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загальнобудинкового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)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вузла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обліку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та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здійснюється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розподіл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між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споживачами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EE4A5A" w:rsidRPr="00AB758E" w:rsidRDefault="00EE4A5A" w:rsidP="00772F4C">
      <w:pPr>
        <w:shd w:val="clear" w:color="auto" w:fill="FFFFFF"/>
        <w:spacing w:after="33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  <w:lang w:val="uk-UA" w:eastAsia="ru-RU"/>
        </w:rPr>
      </w:pP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дасть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можливість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не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тільки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об'єктивно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здійснити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розподіл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використаних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вами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послуг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gram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й</w:t>
      </w:r>
      <w:proofErr w:type="gram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допоможе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економити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ваш </w:t>
      </w:r>
      <w:proofErr w:type="spellStart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сімейний</w:t>
      </w:r>
      <w:proofErr w:type="spellEnd"/>
      <w:r w:rsidRPr="00AB75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бюджет.</w:t>
      </w:r>
    </w:p>
    <w:p w:rsidR="00C717E1" w:rsidRPr="00AB758E" w:rsidRDefault="00C717E1" w:rsidP="00C717E1">
      <w:pPr>
        <w:spacing w:after="0" w:line="240" w:lineRule="auto"/>
        <w:rPr>
          <w:rFonts w:ascii="Times New Roman" w:hAnsi="Times New Roman" w:cs="Times New Roman"/>
          <w:b/>
          <w:color w:val="555555"/>
          <w:sz w:val="24"/>
          <w:szCs w:val="24"/>
          <w:lang w:val="uk-UA"/>
        </w:rPr>
      </w:pPr>
      <w:r w:rsidRPr="00AB758E">
        <w:rPr>
          <w:rFonts w:ascii="Times New Roman" w:hAnsi="Times New Roman" w:cs="Times New Roman"/>
          <w:b/>
          <w:color w:val="555555"/>
          <w:sz w:val="24"/>
          <w:szCs w:val="24"/>
          <w:lang w:val="uk-UA"/>
        </w:rPr>
        <w:t>З повагою!</w:t>
      </w:r>
    </w:p>
    <w:p w:rsidR="00C717E1" w:rsidRPr="00AB758E" w:rsidRDefault="00C717E1" w:rsidP="00C717E1">
      <w:pPr>
        <w:spacing w:after="0" w:line="240" w:lineRule="auto"/>
        <w:rPr>
          <w:rFonts w:ascii="Times New Roman" w:hAnsi="Times New Roman" w:cs="Times New Roman"/>
          <w:b/>
          <w:color w:val="555555"/>
          <w:sz w:val="24"/>
          <w:szCs w:val="24"/>
          <w:lang w:val="uk-UA"/>
        </w:rPr>
      </w:pPr>
    </w:p>
    <w:p w:rsidR="00C717E1" w:rsidRPr="00AB758E" w:rsidRDefault="00C717E1" w:rsidP="00C717E1">
      <w:pPr>
        <w:pStyle w:val="a3"/>
        <w:spacing w:before="0" w:beforeAutospacing="0" w:after="330" w:afterAutospacing="0"/>
        <w:rPr>
          <w:b/>
          <w:color w:val="555555"/>
          <w:lang w:val="uk-UA"/>
        </w:rPr>
      </w:pPr>
      <w:r w:rsidRPr="00AB758E">
        <w:rPr>
          <w:b/>
          <w:color w:val="555555"/>
          <w:lang w:val="uk-UA"/>
        </w:rPr>
        <w:t>Начальник    КП  Переяславське  ВУКГ                         А. М. Гриценко</w:t>
      </w:r>
    </w:p>
    <w:p w:rsidR="00C717E1" w:rsidRPr="00AB758E" w:rsidRDefault="00C717E1" w:rsidP="00C717E1">
      <w:pPr>
        <w:pStyle w:val="a3"/>
        <w:spacing w:before="0" w:beforeAutospacing="0" w:after="330" w:afterAutospacing="0"/>
        <w:rPr>
          <w:b/>
          <w:color w:val="555555"/>
          <w:lang w:val="uk-UA"/>
        </w:rPr>
      </w:pPr>
      <w:r w:rsidRPr="00AB758E">
        <w:rPr>
          <w:b/>
          <w:color w:val="555555"/>
          <w:lang w:val="uk-UA"/>
        </w:rPr>
        <w:t>Головний інженер</w:t>
      </w:r>
      <w:r w:rsidRPr="00AB758E">
        <w:rPr>
          <w:b/>
          <w:i/>
          <w:iCs/>
          <w:color w:val="555555"/>
          <w:lang w:val="uk-UA"/>
        </w:rPr>
        <w:t xml:space="preserve"> </w:t>
      </w:r>
      <w:r w:rsidRPr="00AB758E">
        <w:rPr>
          <w:b/>
          <w:color w:val="555555"/>
          <w:lang w:val="uk-UA"/>
        </w:rPr>
        <w:t xml:space="preserve">КП Переяславське ВУКГ                 В. А. </w:t>
      </w:r>
      <w:proofErr w:type="spellStart"/>
      <w:r w:rsidRPr="00AB758E">
        <w:rPr>
          <w:b/>
          <w:color w:val="555555"/>
          <w:lang w:val="uk-UA"/>
        </w:rPr>
        <w:t>Буряков</w:t>
      </w:r>
      <w:proofErr w:type="spellEnd"/>
    </w:p>
    <w:p w:rsidR="00C717E1" w:rsidRPr="00C717E1" w:rsidRDefault="00C717E1" w:rsidP="00EE4A5A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</w:p>
    <w:p w:rsidR="00EE4A5A" w:rsidRPr="00EE4A5A" w:rsidRDefault="00EE4A5A" w:rsidP="00C86D3A">
      <w:pPr>
        <w:shd w:val="clear" w:color="auto" w:fill="FAF7F0"/>
        <w:spacing w:line="240" w:lineRule="auto"/>
        <w:rPr>
          <w:rFonts w:ascii="Arial" w:eastAsia="Times New Roman" w:hAnsi="Arial" w:cs="Arial"/>
          <w:color w:val="3E3B34"/>
          <w:sz w:val="20"/>
          <w:szCs w:val="20"/>
          <w:lang w:eastAsia="ru-RU"/>
        </w:rPr>
      </w:pPr>
    </w:p>
    <w:p w:rsidR="00ED32B5" w:rsidRDefault="00ED32B5"/>
    <w:sectPr w:rsidR="00ED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69A"/>
    <w:multiLevelType w:val="multilevel"/>
    <w:tmpl w:val="D0E2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63DF9"/>
    <w:multiLevelType w:val="multilevel"/>
    <w:tmpl w:val="7682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03873"/>
    <w:multiLevelType w:val="multilevel"/>
    <w:tmpl w:val="8AF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530AB0"/>
    <w:multiLevelType w:val="multilevel"/>
    <w:tmpl w:val="5D6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3A"/>
    <w:rsid w:val="0004408C"/>
    <w:rsid w:val="00101F08"/>
    <w:rsid w:val="00165A52"/>
    <w:rsid w:val="0039630D"/>
    <w:rsid w:val="004B4D9A"/>
    <w:rsid w:val="00555BF8"/>
    <w:rsid w:val="005A4873"/>
    <w:rsid w:val="00644329"/>
    <w:rsid w:val="00772F4C"/>
    <w:rsid w:val="007C097F"/>
    <w:rsid w:val="007C78B2"/>
    <w:rsid w:val="0080033F"/>
    <w:rsid w:val="00870333"/>
    <w:rsid w:val="009C735E"/>
    <w:rsid w:val="00AB758E"/>
    <w:rsid w:val="00BD20E8"/>
    <w:rsid w:val="00C717E1"/>
    <w:rsid w:val="00C86D3A"/>
    <w:rsid w:val="00ED32B5"/>
    <w:rsid w:val="00EE4A5A"/>
    <w:rsid w:val="00FC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6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6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6D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6D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D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-media-bounds">
    <w:name w:val="top-media-bounds"/>
    <w:basedOn w:val="a0"/>
    <w:rsid w:val="00C86D3A"/>
  </w:style>
  <w:style w:type="character" w:styleId="a4">
    <w:name w:val="Hyperlink"/>
    <w:basedOn w:val="a0"/>
    <w:uiPriority w:val="99"/>
    <w:semiHidden/>
    <w:unhideWhenUsed/>
    <w:rsid w:val="00C86D3A"/>
    <w:rPr>
      <w:color w:val="0000FF"/>
      <w:u w:val="single"/>
    </w:rPr>
  </w:style>
  <w:style w:type="character" w:styleId="a5">
    <w:name w:val="Strong"/>
    <w:basedOn w:val="a0"/>
    <w:uiPriority w:val="22"/>
    <w:qFormat/>
    <w:rsid w:val="00C86D3A"/>
    <w:rPr>
      <w:b/>
      <w:bCs/>
    </w:rPr>
  </w:style>
  <w:style w:type="paragraph" w:customStyle="1" w:styleId="wym-image-center">
    <w:name w:val="wym-image-center"/>
    <w:basedOn w:val="a"/>
    <w:rsid w:val="00C8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ym-author">
    <w:name w:val="wym-author"/>
    <w:basedOn w:val="a0"/>
    <w:rsid w:val="00C86D3A"/>
  </w:style>
  <w:style w:type="character" w:customStyle="1" w:styleId="11">
    <w:name w:val="Дата1"/>
    <w:basedOn w:val="a0"/>
    <w:rsid w:val="00C86D3A"/>
  </w:style>
  <w:style w:type="character" w:customStyle="1" w:styleId="bold">
    <w:name w:val="bold"/>
    <w:basedOn w:val="a0"/>
    <w:rsid w:val="00C86D3A"/>
  </w:style>
  <w:style w:type="paragraph" w:styleId="a6">
    <w:name w:val="Balloon Text"/>
    <w:basedOn w:val="a"/>
    <w:link w:val="a7"/>
    <w:uiPriority w:val="99"/>
    <w:semiHidden/>
    <w:unhideWhenUsed/>
    <w:rsid w:val="005A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6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6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6D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6D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D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-media-bounds">
    <w:name w:val="top-media-bounds"/>
    <w:basedOn w:val="a0"/>
    <w:rsid w:val="00C86D3A"/>
  </w:style>
  <w:style w:type="character" w:styleId="a4">
    <w:name w:val="Hyperlink"/>
    <w:basedOn w:val="a0"/>
    <w:uiPriority w:val="99"/>
    <w:semiHidden/>
    <w:unhideWhenUsed/>
    <w:rsid w:val="00C86D3A"/>
    <w:rPr>
      <w:color w:val="0000FF"/>
      <w:u w:val="single"/>
    </w:rPr>
  </w:style>
  <w:style w:type="character" w:styleId="a5">
    <w:name w:val="Strong"/>
    <w:basedOn w:val="a0"/>
    <w:uiPriority w:val="22"/>
    <w:qFormat/>
    <w:rsid w:val="00C86D3A"/>
    <w:rPr>
      <w:b/>
      <w:bCs/>
    </w:rPr>
  </w:style>
  <w:style w:type="paragraph" w:customStyle="1" w:styleId="wym-image-center">
    <w:name w:val="wym-image-center"/>
    <w:basedOn w:val="a"/>
    <w:rsid w:val="00C8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ym-author">
    <w:name w:val="wym-author"/>
    <w:basedOn w:val="a0"/>
    <w:rsid w:val="00C86D3A"/>
  </w:style>
  <w:style w:type="character" w:customStyle="1" w:styleId="11">
    <w:name w:val="Дата1"/>
    <w:basedOn w:val="a0"/>
    <w:rsid w:val="00C86D3A"/>
  </w:style>
  <w:style w:type="character" w:customStyle="1" w:styleId="bold">
    <w:name w:val="bold"/>
    <w:basedOn w:val="a0"/>
    <w:rsid w:val="00C86D3A"/>
  </w:style>
  <w:style w:type="paragraph" w:styleId="a6">
    <w:name w:val="Balloon Text"/>
    <w:basedOn w:val="a"/>
    <w:link w:val="a7"/>
    <w:uiPriority w:val="99"/>
    <w:semiHidden/>
    <w:unhideWhenUsed/>
    <w:rsid w:val="005A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892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40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37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35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1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tava.to/news/5228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ltava.to/news/513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</dc:creator>
  <cp:lastModifiedBy>Globa</cp:lastModifiedBy>
  <cp:revision>19</cp:revision>
  <dcterms:created xsi:type="dcterms:W3CDTF">2020-04-14T07:10:00Z</dcterms:created>
  <dcterms:modified xsi:type="dcterms:W3CDTF">2020-04-15T09:26:00Z</dcterms:modified>
</cp:coreProperties>
</file>