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>про базове відстеження результативності регуляторного акта –</w:t>
      </w:r>
    </w:p>
    <w:p w:rsidR="00245DE1" w:rsidRDefault="00245DE1" w:rsidP="0024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  <w:r w:rsidR="00422D79">
        <w:rPr>
          <w:rFonts w:ascii="Times New Roman" w:hAnsi="Times New Roman" w:cs="Times New Roman"/>
          <w:sz w:val="28"/>
          <w:szCs w:val="28"/>
        </w:rPr>
        <w:t xml:space="preserve">від 17.12.2020 №188-04-VІІІ </w:t>
      </w:r>
      <w:r w:rsidR="00422D79" w:rsidRPr="00422D79">
        <w:rPr>
          <w:rFonts w:ascii="Times New Roman" w:hAnsi="Times New Roman" w:cs="Times New Roman"/>
          <w:sz w:val="28"/>
          <w:szCs w:val="28"/>
        </w:rPr>
        <w:t>«</w:t>
      </w:r>
      <w:r w:rsidR="00422D79" w:rsidRPr="00422D79">
        <w:rPr>
          <w:rFonts w:ascii="Times New Roman" w:hAnsi="Times New Roman" w:cs="Times New Roman"/>
          <w:bCs/>
          <w:color w:val="000000"/>
          <w:sz w:val="28"/>
          <w:szCs w:val="28"/>
        </w:rPr>
        <w:t>Про затвердження Порядку виконання контрольних функцій у сфері оренди комунального майна Переяславської міської територіальної громади</w:t>
      </w:r>
      <w:r w:rsidR="00422D79" w:rsidRPr="00422D79">
        <w:rPr>
          <w:rFonts w:ascii="Times New Roman" w:hAnsi="Times New Roman" w:cs="Times New Roman"/>
          <w:sz w:val="28"/>
          <w:szCs w:val="28"/>
        </w:rPr>
        <w:t>».</w:t>
      </w:r>
    </w:p>
    <w:p w:rsidR="00422D79" w:rsidRPr="00422D79" w:rsidRDefault="00422D79" w:rsidP="00245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1. Вид та назва регуляторного акта</w:t>
      </w:r>
    </w:p>
    <w:p w:rsidR="00245DE1" w:rsidRPr="00422D79" w:rsidRDefault="00245DE1" w:rsidP="0076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  <w:r w:rsidR="00422D79">
        <w:rPr>
          <w:rFonts w:ascii="Times New Roman" w:hAnsi="Times New Roman" w:cs="Times New Roman"/>
          <w:sz w:val="28"/>
          <w:szCs w:val="28"/>
        </w:rPr>
        <w:t xml:space="preserve">від 17.12.2020 №188-04-VІІІ </w:t>
      </w:r>
      <w:r w:rsidR="00422D79" w:rsidRPr="00422D79">
        <w:rPr>
          <w:rFonts w:ascii="Times New Roman" w:hAnsi="Times New Roman" w:cs="Times New Roman"/>
          <w:sz w:val="28"/>
          <w:szCs w:val="28"/>
        </w:rPr>
        <w:t>«</w:t>
      </w:r>
      <w:r w:rsidR="00422D79" w:rsidRPr="00422D79">
        <w:rPr>
          <w:rFonts w:ascii="Times New Roman" w:hAnsi="Times New Roman" w:cs="Times New Roman"/>
          <w:bCs/>
          <w:color w:val="000000"/>
          <w:sz w:val="28"/>
          <w:szCs w:val="28"/>
        </w:rPr>
        <w:t>Про затвердження Порядку виконання контрольних функцій у сфері оренди комунального майна Переяславської міської територіальної громади</w:t>
      </w:r>
      <w:r w:rsidR="00422D79" w:rsidRPr="00422D79">
        <w:rPr>
          <w:rFonts w:ascii="Times New Roman" w:hAnsi="Times New Roman" w:cs="Times New Roman"/>
          <w:sz w:val="28"/>
          <w:szCs w:val="28"/>
        </w:rPr>
        <w:t>».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2. Назва виконавця заходів з відстеження:</w:t>
      </w:r>
    </w:p>
    <w:p w:rsidR="00245DE1" w:rsidRPr="00245DE1" w:rsidRDefault="00763877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комунального майна виконавчого комітету Переяславської міської ради.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3. Цілі прийняття акта</w:t>
      </w:r>
      <w:r w:rsidR="00422D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2D79" w:rsidRPr="004844D1" w:rsidRDefault="00422D79" w:rsidP="00422D79">
      <w:pPr>
        <w:pStyle w:val="Default"/>
        <w:ind w:firstLine="709"/>
        <w:jc w:val="both"/>
        <w:rPr>
          <w:sz w:val="28"/>
          <w:szCs w:val="28"/>
        </w:rPr>
      </w:pPr>
      <w:r w:rsidRPr="004844D1">
        <w:rPr>
          <w:sz w:val="28"/>
          <w:szCs w:val="28"/>
        </w:rPr>
        <w:t>Цілями державного регулювання є забезпечення виконання приписів Закону України від 03 жовтня 2019 року № 157-ІХ «Про оренду державного та комунального майна», створення єдиних правил та процедури здійснення контрольних функцій у сфері оренди комунального майна, а також визначення єдиного підходу до вирішення проблемних питань, пов’язаних із реалізацією вказаних функцій.</w:t>
      </w:r>
    </w:p>
    <w:p w:rsidR="00422D79" w:rsidRPr="004844D1" w:rsidRDefault="00422D79" w:rsidP="00422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4D1">
        <w:rPr>
          <w:rFonts w:ascii="Times New Roman" w:hAnsi="Times New Roman" w:cs="Times New Roman"/>
          <w:sz w:val="28"/>
          <w:szCs w:val="28"/>
        </w:rPr>
        <w:t>Регуляторний акт розроблено з метою забезпечення контролю органу місцевого самоврядування за виконанням договірних зобов’язань та використанням комунального    майна, у тому числі з метою забезпечення його схоронності.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4. Строк виконання заходів з відстеження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 xml:space="preserve">З </w:t>
      </w:r>
      <w:r w:rsidR="00763877">
        <w:rPr>
          <w:rFonts w:ascii="Times New Roman" w:hAnsi="Times New Roman" w:cs="Times New Roman"/>
          <w:sz w:val="28"/>
          <w:szCs w:val="28"/>
        </w:rPr>
        <w:t>01</w:t>
      </w:r>
      <w:r w:rsidRPr="00245DE1">
        <w:rPr>
          <w:rFonts w:ascii="Times New Roman" w:hAnsi="Times New Roman" w:cs="Times New Roman"/>
          <w:sz w:val="28"/>
          <w:szCs w:val="28"/>
        </w:rPr>
        <w:t>.0</w:t>
      </w:r>
      <w:r w:rsidR="00763877">
        <w:rPr>
          <w:rFonts w:ascii="Times New Roman" w:hAnsi="Times New Roman" w:cs="Times New Roman"/>
          <w:sz w:val="28"/>
          <w:szCs w:val="28"/>
        </w:rPr>
        <w:t>1</w:t>
      </w:r>
      <w:r w:rsidRPr="00245DE1">
        <w:rPr>
          <w:rFonts w:ascii="Times New Roman" w:hAnsi="Times New Roman" w:cs="Times New Roman"/>
          <w:sz w:val="28"/>
          <w:szCs w:val="28"/>
        </w:rPr>
        <w:t>.20</w:t>
      </w:r>
      <w:r w:rsidR="00763877">
        <w:rPr>
          <w:rFonts w:ascii="Times New Roman" w:hAnsi="Times New Roman" w:cs="Times New Roman"/>
          <w:sz w:val="28"/>
          <w:szCs w:val="28"/>
        </w:rPr>
        <w:t>2</w:t>
      </w:r>
      <w:r w:rsidRPr="00245DE1">
        <w:rPr>
          <w:rFonts w:ascii="Times New Roman" w:hAnsi="Times New Roman" w:cs="Times New Roman"/>
          <w:sz w:val="28"/>
          <w:szCs w:val="28"/>
        </w:rPr>
        <w:t xml:space="preserve">1 по </w:t>
      </w:r>
      <w:r w:rsidR="00763877">
        <w:rPr>
          <w:rFonts w:ascii="Times New Roman" w:hAnsi="Times New Roman" w:cs="Times New Roman"/>
          <w:sz w:val="28"/>
          <w:szCs w:val="28"/>
        </w:rPr>
        <w:t>01.02</w:t>
      </w:r>
      <w:r w:rsidRPr="00245DE1">
        <w:rPr>
          <w:rFonts w:ascii="Times New Roman" w:hAnsi="Times New Roman" w:cs="Times New Roman"/>
          <w:sz w:val="28"/>
          <w:szCs w:val="28"/>
        </w:rPr>
        <w:t>.20</w:t>
      </w:r>
      <w:r w:rsidR="00763877">
        <w:rPr>
          <w:rFonts w:ascii="Times New Roman" w:hAnsi="Times New Roman" w:cs="Times New Roman"/>
          <w:sz w:val="28"/>
          <w:szCs w:val="28"/>
        </w:rPr>
        <w:t>21</w:t>
      </w:r>
      <w:r w:rsidRPr="00245DE1">
        <w:rPr>
          <w:rFonts w:ascii="Times New Roman" w:hAnsi="Times New Roman" w:cs="Times New Roman"/>
          <w:sz w:val="28"/>
          <w:szCs w:val="28"/>
        </w:rPr>
        <w:t>.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5. Тип відстеження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>Базове.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6. Метод одержання результатів відстеження результативності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>Збір статистичних даних.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7. Дані та припущення, на основі яких відстежувалася результативність, а</w:t>
      </w:r>
      <w:r w:rsidR="00763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DE1">
        <w:rPr>
          <w:rFonts w:ascii="Times New Roman" w:hAnsi="Times New Roman" w:cs="Times New Roman"/>
          <w:b/>
          <w:bCs/>
          <w:sz w:val="28"/>
          <w:szCs w:val="28"/>
        </w:rPr>
        <w:t>також способи отримання даних</w:t>
      </w:r>
    </w:p>
    <w:p w:rsidR="00422D79" w:rsidRPr="006900E7" w:rsidRDefault="00245DE1" w:rsidP="00422D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5DE1">
        <w:rPr>
          <w:sz w:val="28"/>
          <w:szCs w:val="28"/>
        </w:rPr>
        <w:t>Відстеження результативності регуляторного акта здійснено шляхом</w:t>
      </w:r>
      <w:r w:rsidR="00763877" w:rsidRPr="00763877">
        <w:rPr>
          <w:sz w:val="27"/>
          <w:szCs w:val="27"/>
        </w:rPr>
        <w:t xml:space="preserve"> </w:t>
      </w:r>
      <w:r w:rsidR="00763877" w:rsidRPr="00763877">
        <w:rPr>
          <w:sz w:val="28"/>
          <w:szCs w:val="28"/>
        </w:rPr>
        <w:t xml:space="preserve">аналізу </w:t>
      </w:r>
      <w:r w:rsidR="00422D79" w:rsidRPr="006900E7">
        <w:rPr>
          <w:sz w:val="28"/>
          <w:szCs w:val="28"/>
        </w:rPr>
        <w:t>статистичних даних, зокрема поданих орендодавцями (</w:t>
      </w:r>
      <w:proofErr w:type="spellStart"/>
      <w:r w:rsidR="00422D79" w:rsidRPr="006900E7">
        <w:rPr>
          <w:sz w:val="28"/>
          <w:szCs w:val="28"/>
        </w:rPr>
        <w:t>балансоутримувачами</w:t>
      </w:r>
      <w:proofErr w:type="spellEnd"/>
      <w:r w:rsidR="00422D79" w:rsidRPr="006900E7">
        <w:rPr>
          <w:sz w:val="28"/>
          <w:szCs w:val="28"/>
        </w:rPr>
        <w:t xml:space="preserve">) звітів зі здійснення періодичного комплексного контролю виконання умов договору оренди, звітів про надходження плати за оренду комунального майна до </w:t>
      </w:r>
      <w:proofErr w:type="spellStart"/>
      <w:r w:rsidR="00422D79" w:rsidRPr="006900E7">
        <w:rPr>
          <w:sz w:val="28"/>
          <w:szCs w:val="28"/>
        </w:rPr>
        <w:t>балансоутримувача</w:t>
      </w:r>
      <w:proofErr w:type="spellEnd"/>
      <w:r w:rsidR="00422D79" w:rsidRPr="006900E7">
        <w:rPr>
          <w:sz w:val="28"/>
          <w:szCs w:val="28"/>
        </w:rPr>
        <w:t xml:space="preserve"> та про суму коштів, що підлягає перерахуванню до бюджету, звітів фінансового управління міської ради щодо фактичних надходжень коштів від оренди комунального майна щодо кількості суб'єктів господарювання та/або фізичних осіб, на яких поширюватиметься дія акта;  кількості проведених органом місцевого самоврядування контрольних заходів (постійний контроль); кількості проведених органом місцевого самоврядування контрольних заходів (періодичний контроль);  </w:t>
      </w:r>
      <w:r w:rsidR="00422D79" w:rsidRPr="006900E7">
        <w:rPr>
          <w:color w:val="auto"/>
          <w:sz w:val="28"/>
          <w:szCs w:val="28"/>
        </w:rPr>
        <w:t xml:space="preserve">розміру надходжень до місцевого бюджету  від орендної плати; розміру надходжень до бюджету громади (штрафні санкції), пов'язаних з дією акта; </w:t>
      </w:r>
      <w:r w:rsidR="00422D79" w:rsidRPr="006900E7">
        <w:rPr>
          <w:rFonts w:ascii="Arial" w:hAnsi="Arial" w:cs="Arial"/>
          <w:sz w:val="28"/>
          <w:szCs w:val="28"/>
        </w:rPr>
        <w:t> </w:t>
      </w:r>
      <w:r w:rsidR="00422D79" w:rsidRPr="006900E7">
        <w:rPr>
          <w:rStyle w:val="a3"/>
          <w:b w:val="0"/>
          <w:sz w:val="28"/>
          <w:szCs w:val="28"/>
        </w:rPr>
        <w:t>розміру коштів</w:t>
      </w:r>
      <w:r w:rsidR="00422D79" w:rsidRPr="006900E7">
        <w:rPr>
          <w:b/>
          <w:sz w:val="28"/>
          <w:szCs w:val="28"/>
        </w:rPr>
        <w:t>,</w:t>
      </w:r>
      <w:r w:rsidR="00422D79" w:rsidRPr="006900E7">
        <w:rPr>
          <w:rFonts w:ascii="Arial" w:hAnsi="Arial" w:cs="Arial"/>
          <w:sz w:val="28"/>
          <w:szCs w:val="28"/>
        </w:rPr>
        <w:t xml:space="preserve"> </w:t>
      </w:r>
      <w:r w:rsidR="00422D79" w:rsidRPr="006900E7">
        <w:rPr>
          <w:sz w:val="28"/>
          <w:szCs w:val="28"/>
        </w:rPr>
        <w:t xml:space="preserve">що витрачаються суб’єктами </w:t>
      </w:r>
      <w:r w:rsidR="00422D79" w:rsidRPr="006900E7">
        <w:rPr>
          <w:sz w:val="28"/>
          <w:szCs w:val="28"/>
        </w:rPr>
        <w:lastRenderedPageBreak/>
        <w:t xml:space="preserve">господарювання та/або фізичними особами, пов’язаними з виконанням вимог акта; </w:t>
      </w:r>
      <w:r w:rsidR="00422D79" w:rsidRPr="006900E7">
        <w:rPr>
          <w:rStyle w:val="a3"/>
          <w:b w:val="0"/>
          <w:sz w:val="28"/>
          <w:szCs w:val="28"/>
        </w:rPr>
        <w:t>часу</w:t>
      </w:r>
      <w:r w:rsidR="00422D79" w:rsidRPr="006900E7">
        <w:rPr>
          <w:b/>
          <w:sz w:val="28"/>
          <w:szCs w:val="28"/>
        </w:rPr>
        <w:t>,</w:t>
      </w:r>
      <w:r w:rsidR="00422D79" w:rsidRPr="006900E7">
        <w:rPr>
          <w:sz w:val="28"/>
          <w:szCs w:val="28"/>
        </w:rPr>
        <w:t xml:space="preserve"> що витрачається суб’єктами господарювання та/або фізичними особами, пов’язаними з виконанням вимог акта;</w:t>
      </w:r>
      <w:r w:rsidR="00422D79" w:rsidRPr="006900E7">
        <w:rPr>
          <w:color w:val="auto"/>
          <w:sz w:val="28"/>
          <w:szCs w:val="28"/>
        </w:rPr>
        <w:t xml:space="preserve"> рівня поінформованості суб'єктів господарювання щодо основних положень акта. </w:t>
      </w:r>
    </w:p>
    <w:p w:rsidR="00AC45DE" w:rsidRPr="00BD4BB4" w:rsidRDefault="00AC45DE" w:rsidP="00AC45DE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4BB4">
        <w:rPr>
          <w:rFonts w:ascii="Times New Roman" w:hAnsi="Times New Roman" w:cs="Times New Roman"/>
          <w:sz w:val="28"/>
          <w:szCs w:val="28"/>
        </w:rPr>
        <w:t xml:space="preserve">Результат даного регуляторного акта відстежується методом аналізу </w:t>
      </w:r>
      <w:r>
        <w:rPr>
          <w:rFonts w:ascii="Times New Roman" w:hAnsi="Times New Roman" w:cs="Times New Roman"/>
          <w:sz w:val="28"/>
          <w:szCs w:val="28"/>
        </w:rPr>
        <w:t xml:space="preserve">фактичних </w:t>
      </w:r>
      <w:r w:rsidRPr="00BD4BB4">
        <w:rPr>
          <w:rFonts w:ascii="Times New Roman" w:hAnsi="Times New Roman" w:cs="Times New Roman"/>
          <w:sz w:val="28"/>
          <w:szCs w:val="28"/>
        </w:rPr>
        <w:t xml:space="preserve">даних </w:t>
      </w:r>
      <w:r w:rsidRPr="00BD4BB4">
        <w:rPr>
          <w:rFonts w:ascii="Times New Roman" w:hAnsi="Times New Roman" w:cs="Times New Roman"/>
          <w:iCs/>
          <w:sz w:val="28"/>
          <w:szCs w:val="28"/>
        </w:rPr>
        <w:t>за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BD4BB4">
        <w:rPr>
          <w:rFonts w:ascii="Times New Roman" w:hAnsi="Times New Roman" w:cs="Times New Roman"/>
          <w:iCs/>
          <w:sz w:val="28"/>
          <w:szCs w:val="28"/>
        </w:rPr>
        <w:t xml:space="preserve"> рік, очікуваних </w:t>
      </w:r>
      <w:r>
        <w:rPr>
          <w:rFonts w:ascii="Times New Roman" w:hAnsi="Times New Roman" w:cs="Times New Roman"/>
          <w:iCs/>
          <w:sz w:val="28"/>
          <w:szCs w:val="28"/>
        </w:rPr>
        <w:t>даних</w:t>
      </w:r>
      <w:r w:rsidRPr="00BD4BB4">
        <w:rPr>
          <w:rFonts w:ascii="Times New Roman" w:hAnsi="Times New Roman" w:cs="Times New Roman"/>
          <w:iCs/>
          <w:sz w:val="28"/>
          <w:szCs w:val="28"/>
        </w:rPr>
        <w:t xml:space="preserve"> за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BD4BB4">
        <w:rPr>
          <w:rFonts w:ascii="Times New Roman" w:hAnsi="Times New Roman" w:cs="Times New Roman"/>
          <w:iCs/>
          <w:sz w:val="28"/>
          <w:szCs w:val="28"/>
        </w:rPr>
        <w:t xml:space="preserve"> рік та прогнозних у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BD4BB4">
        <w:rPr>
          <w:rFonts w:ascii="Times New Roman" w:hAnsi="Times New Roman" w:cs="Times New Roman"/>
          <w:iCs/>
          <w:sz w:val="28"/>
          <w:szCs w:val="28"/>
        </w:rPr>
        <w:t xml:space="preserve"> році.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8. Кількісні та якісні значення показників результативності акта</w:t>
      </w: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>Даними, на основі яких відстежувалася результативність регуляторного</w:t>
      </w:r>
    </w:p>
    <w:p w:rsid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E1">
        <w:rPr>
          <w:rFonts w:ascii="Times New Roman" w:hAnsi="Times New Roman" w:cs="Times New Roman"/>
          <w:sz w:val="28"/>
          <w:szCs w:val="28"/>
        </w:rPr>
        <w:t>акта, є статистичні показники, а саме:</w:t>
      </w:r>
    </w:p>
    <w:p w:rsidR="00F815BB" w:rsidRPr="00464BF3" w:rsidRDefault="00AC45DE" w:rsidP="00F815BB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64BF3">
        <w:rPr>
          <w:sz w:val="28"/>
          <w:szCs w:val="28"/>
          <w:lang w:val="uk-UA"/>
        </w:rPr>
        <w:t>кількість суб'єктів господарювання та/або фізичних осіб, на яких поширюватиметься дія акта</w:t>
      </w:r>
      <w:r w:rsidR="00F815BB" w:rsidRPr="00464BF3">
        <w:rPr>
          <w:sz w:val="28"/>
          <w:szCs w:val="28"/>
          <w:lang w:val="uk-UA"/>
        </w:rPr>
        <w:t>;</w:t>
      </w:r>
    </w:p>
    <w:p w:rsidR="00F815BB" w:rsidRPr="00464BF3" w:rsidRDefault="00AC45DE" w:rsidP="00F815BB">
      <w:pPr>
        <w:pStyle w:val="a8"/>
        <w:numPr>
          <w:ilvl w:val="0"/>
          <w:numId w:val="3"/>
        </w:numPr>
        <w:tabs>
          <w:tab w:val="left" w:pos="1265"/>
        </w:tabs>
        <w:spacing w:line="230" w:lineRule="auto"/>
        <w:ind w:right="-108"/>
        <w:jc w:val="both"/>
        <w:rPr>
          <w:sz w:val="28"/>
          <w:szCs w:val="28"/>
          <w:lang w:val="uk-UA"/>
        </w:rPr>
      </w:pPr>
      <w:r w:rsidRPr="00464BF3">
        <w:rPr>
          <w:sz w:val="28"/>
          <w:szCs w:val="28"/>
          <w:lang w:val="uk-UA"/>
        </w:rPr>
        <w:t>кількість проведених органом місцевого самоврядування контрольних заходів (постійний контроль)</w:t>
      </w:r>
      <w:r w:rsidR="00F815BB" w:rsidRPr="00464BF3">
        <w:rPr>
          <w:sz w:val="28"/>
          <w:szCs w:val="28"/>
          <w:lang w:val="uk-UA"/>
        </w:rPr>
        <w:t>;</w:t>
      </w:r>
    </w:p>
    <w:p w:rsidR="00464BF3" w:rsidRDefault="00464BF3" w:rsidP="00464BF3">
      <w:pPr>
        <w:pStyle w:val="a8"/>
        <w:tabs>
          <w:tab w:val="left" w:pos="1265"/>
        </w:tabs>
        <w:spacing w:line="230" w:lineRule="auto"/>
        <w:ind w:left="0" w:right="-108"/>
        <w:jc w:val="both"/>
        <w:rPr>
          <w:sz w:val="28"/>
          <w:szCs w:val="28"/>
          <w:lang w:val="uk-UA"/>
        </w:rPr>
      </w:pPr>
      <w:r w:rsidRPr="00464BF3">
        <w:rPr>
          <w:sz w:val="28"/>
          <w:szCs w:val="28"/>
          <w:lang w:val="uk-UA"/>
        </w:rPr>
        <w:t xml:space="preserve">-   кількість проведених органом місцевого самоврядування контрольних </w:t>
      </w:r>
    </w:p>
    <w:p w:rsidR="00F815BB" w:rsidRDefault="00464BF3" w:rsidP="00464BF3">
      <w:pPr>
        <w:pStyle w:val="a8"/>
        <w:tabs>
          <w:tab w:val="left" w:pos="1265"/>
        </w:tabs>
        <w:spacing w:line="230" w:lineRule="auto"/>
        <w:ind w:left="0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64BF3">
        <w:rPr>
          <w:sz w:val="28"/>
          <w:szCs w:val="28"/>
          <w:lang w:val="uk-UA"/>
        </w:rPr>
        <w:t>заходів   (періодичний контроль);</w:t>
      </w:r>
    </w:p>
    <w:p w:rsidR="00E6727D" w:rsidRDefault="00E6727D" w:rsidP="00E6727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E6727D">
        <w:rPr>
          <w:color w:val="auto"/>
          <w:sz w:val="28"/>
          <w:szCs w:val="28"/>
        </w:rPr>
        <w:t xml:space="preserve">розмір надходжень до місцевого бюджету  від орендної плати; </w:t>
      </w:r>
    </w:p>
    <w:p w:rsidR="00E6727D" w:rsidRPr="00E6727D" w:rsidRDefault="00E6727D" w:rsidP="00E6727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E6727D">
        <w:rPr>
          <w:color w:val="auto"/>
          <w:sz w:val="28"/>
          <w:szCs w:val="28"/>
        </w:rPr>
        <w:t xml:space="preserve">розмір надходжень до бюджету громади (штрафні санкції), пов'язаних з дією акта; </w:t>
      </w:r>
    </w:p>
    <w:p w:rsidR="00464BF3" w:rsidRPr="00464BF3" w:rsidRDefault="00464BF3" w:rsidP="00E6727D">
      <w:pPr>
        <w:pStyle w:val="a8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val="ru-RU"/>
        </w:rPr>
      </w:pPr>
      <w:r w:rsidRPr="00464BF3">
        <w:rPr>
          <w:rStyle w:val="a3"/>
          <w:color w:val="000000"/>
          <w:sz w:val="28"/>
          <w:szCs w:val="28"/>
          <w:lang w:val="uk-UA"/>
        </w:rPr>
        <w:t xml:space="preserve"> </w:t>
      </w:r>
      <w:r w:rsidRPr="00E6727D">
        <w:rPr>
          <w:rStyle w:val="a3"/>
          <w:b w:val="0"/>
          <w:color w:val="000000"/>
          <w:sz w:val="28"/>
          <w:szCs w:val="28"/>
          <w:lang w:val="uk-UA"/>
        </w:rPr>
        <w:t>розмір коштів</w:t>
      </w:r>
      <w:r w:rsidRPr="00E6727D">
        <w:rPr>
          <w:b/>
          <w:color w:val="000000"/>
          <w:sz w:val="28"/>
          <w:szCs w:val="28"/>
          <w:lang w:val="ru-RU"/>
        </w:rPr>
        <w:t>,</w:t>
      </w:r>
      <w:r w:rsidRPr="00464B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64BF3">
        <w:rPr>
          <w:color w:val="000000"/>
          <w:sz w:val="28"/>
          <w:szCs w:val="28"/>
          <w:lang w:val="ru-RU"/>
        </w:rPr>
        <w:t>що</w:t>
      </w:r>
      <w:proofErr w:type="spellEnd"/>
      <w:r w:rsidRPr="00464B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64BF3">
        <w:rPr>
          <w:color w:val="000000"/>
          <w:sz w:val="28"/>
          <w:szCs w:val="28"/>
          <w:lang w:val="ru-RU"/>
        </w:rPr>
        <w:t>витрачаються</w:t>
      </w:r>
      <w:proofErr w:type="spellEnd"/>
      <w:r w:rsidRPr="00464B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64BF3">
        <w:rPr>
          <w:color w:val="000000"/>
          <w:sz w:val="28"/>
          <w:szCs w:val="28"/>
          <w:lang w:val="ru-RU"/>
        </w:rPr>
        <w:t>суб’єктами</w:t>
      </w:r>
      <w:proofErr w:type="spellEnd"/>
      <w:r w:rsidRPr="00464B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64BF3">
        <w:rPr>
          <w:color w:val="000000"/>
          <w:sz w:val="28"/>
          <w:szCs w:val="28"/>
          <w:lang w:val="ru-RU"/>
        </w:rPr>
        <w:t>господарювання</w:t>
      </w:r>
      <w:proofErr w:type="spellEnd"/>
      <w:r w:rsidRPr="00464BF3">
        <w:rPr>
          <w:color w:val="000000"/>
          <w:sz w:val="28"/>
          <w:szCs w:val="28"/>
          <w:lang w:val="ru-RU"/>
        </w:rPr>
        <w:t xml:space="preserve"> та/</w:t>
      </w:r>
      <w:proofErr w:type="spellStart"/>
      <w:r w:rsidRPr="00464BF3">
        <w:rPr>
          <w:color w:val="000000"/>
          <w:sz w:val="28"/>
          <w:szCs w:val="28"/>
          <w:lang w:val="ru-RU"/>
        </w:rPr>
        <w:t>або</w:t>
      </w:r>
      <w:proofErr w:type="spellEnd"/>
      <w:r w:rsidRPr="00464BF3">
        <w:rPr>
          <w:color w:val="000000"/>
          <w:sz w:val="28"/>
          <w:szCs w:val="28"/>
          <w:lang w:val="ru-RU"/>
        </w:rPr>
        <w:t xml:space="preserve"> </w:t>
      </w:r>
    </w:p>
    <w:p w:rsidR="00F815BB" w:rsidRPr="00464BF3" w:rsidRDefault="00464BF3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64BF3">
        <w:rPr>
          <w:rFonts w:ascii="Times New Roman" w:hAnsi="Times New Roman" w:cs="Times New Roman"/>
          <w:color w:val="000000"/>
          <w:sz w:val="28"/>
          <w:szCs w:val="28"/>
        </w:rPr>
        <w:t>фізичними особами, пов’язаними з виконанням вимог акта</w:t>
      </w:r>
    </w:p>
    <w:p w:rsidR="00464BF3" w:rsidRDefault="00464BF3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BF3">
        <w:rPr>
          <w:rFonts w:ascii="Times New Roman" w:hAnsi="Times New Roman" w:cs="Times New Roman"/>
          <w:sz w:val="28"/>
          <w:szCs w:val="28"/>
        </w:rPr>
        <w:t xml:space="preserve">-  рівень поінформованості суб'єктів господарювання з основних положень </w:t>
      </w:r>
    </w:p>
    <w:p w:rsidR="00464BF3" w:rsidRPr="00464BF3" w:rsidRDefault="00464BF3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BF3">
        <w:rPr>
          <w:rFonts w:ascii="Times New Roman" w:hAnsi="Times New Roman" w:cs="Times New Roman"/>
          <w:sz w:val="28"/>
          <w:szCs w:val="28"/>
        </w:rPr>
        <w:t>акта.</w:t>
      </w:r>
    </w:p>
    <w:tbl>
      <w:tblPr>
        <w:tblW w:w="84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01"/>
        <w:gridCol w:w="1417"/>
        <w:gridCol w:w="1517"/>
        <w:gridCol w:w="42"/>
      </w:tblGrid>
      <w:tr w:rsidR="007A429C" w:rsidRPr="00262300" w:rsidTr="007A429C">
        <w:tc>
          <w:tcPr>
            <w:tcW w:w="3794" w:type="dxa"/>
            <w:vMerge w:val="restart"/>
            <w:shd w:val="clear" w:color="auto" w:fill="auto"/>
            <w:vAlign w:val="center"/>
          </w:tcPr>
          <w:p w:rsidR="007A429C" w:rsidRPr="00262300" w:rsidRDefault="007A429C" w:rsidP="00AA1F4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62300">
              <w:rPr>
                <w:rFonts w:ascii="Times New Roman" w:hAnsi="Times New Roman" w:cs="Times New Roman"/>
                <w:b/>
                <w:i/>
                <w:iCs/>
              </w:rPr>
              <w:t>Показники</w:t>
            </w:r>
          </w:p>
          <w:p w:rsidR="007A429C" w:rsidRPr="00262300" w:rsidRDefault="007A429C" w:rsidP="00AA1F4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62300">
              <w:rPr>
                <w:rFonts w:ascii="Times New Roman" w:hAnsi="Times New Roman" w:cs="Times New Roman"/>
                <w:b/>
                <w:i/>
                <w:iCs/>
              </w:rPr>
              <w:t>результативності</w:t>
            </w:r>
          </w:p>
        </w:tc>
        <w:tc>
          <w:tcPr>
            <w:tcW w:w="3118" w:type="dxa"/>
            <w:gridSpan w:val="2"/>
          </w:tcPr>
          <w:p w:rsidR="007A429C" w:rsidRPr="00262300" w:rsidRDefault="007A429C" w:rsidP="00AA1F47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62300">
              <w:rPr>
                <w:rFonts w:ascii="Times New Roman" w:hAnsi="Times New Roman" w:cs="Times New Roman"/>
                <w:b/>
                <w:i/>
                <w:iCs/>
              </w:rPr>
              <w:t>Період відстеження</w:t>
            </w:r>
          </w:p>
        </w:tc>
        <w:tc>
          <w:tcPr>
            <w:tcW w:w="1559" w:type="dxa"/>
            <w:gridSpan w:val="2"/>
            <w:vMerge w:val="restart"/>
          </w:tcPr>
          <w:p w:rsidR="007A429C" w:rsidRPr="00262300" w:rsidRDefault="007A429C" w:rsidP="00E6727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62300">
              <w:rPr>
                <w:rFonts w:ascii="Times New Roman" w:hAnsi="Times New Roman" w:cs="Times New Roman"/>
                <w:b/>
                <w:i/>
                <w:iCs/>
              </w:rPr>
              <w:t xml:space="preserve">Прогнозні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дані </w:t>
            </w:r>
            <w:r w:rsidRPr="00262300">
              <w:rPr>
                <w:rFonts w:ascii="Times New Roman" w:hAnsi="Times New Roman" w:cs="Times New Roman"/>
                <w:b/>
                <w:i/>
                <w:iCs/>
              </w:rPr>
              <w:t xml:space="preserve"> у 202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Pr="00262300">
              <w:rPr>
                <w:rFonts w:ascii="Times New Roman" w:hAnsi="Times New Roman" w:cs="Times New Roman"/>
                <w:b/>
                <w:i/>
                <w:iCs/>
              </w:rPr>
              <w:t xml:space="preserve"> році</w:t>
            </w:r>
          </w:p>
        </w:tc>
      </w:tr>
      <w:tr w:rsidR="007A429C" w:rsidRPr="003B661E" w:rsidTr="007A429C">
        <w:tc>
          <w:tcPr>
            <w:tcW w:w="3794" w:type="dxa"/>
            <w:vMerge/>
            <w:shd w:val="clear" w:color="auto" w:fill="auto"/>
            <w:vAlign w:val="center"/>
          </w:tcPr>
          <w:p w:rsidR="007A429C" w:rsidRPr="003B661E" w:rsidRDefault="007A429C" w:rsidP="00AA1F47">
            <w:pPr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A429C" w:rsidRPr="00262300" w:rsidRDefault="007A429C" w:rsidP="00E672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Дані </w:t>
            </w:r>
            <w:r w:rsidRPr="00262300">
              <w:rPr>
                <w:rFonts w:ascii="Times New Roman" w:hAnsi="Times New Roman" w:cs="Times New Roman"/>
                <w:b/>
                <w:i/>
              </w:rPr>
              <w:t xml:space="preserve"> за 202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2300">
              <w:rPr>
                <w:rFonts w:ascii="Times New Roman" w:hAnsi="Times New Roman" w:cs="Times New Roman"/>
                <w:b/>
                <w:i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</w:tcPr>
          <w:p w:rsidR="007A429C" w:rsidRPr="00262300" w:rsidRDefault="007A429C" w:rsidP="00E6727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D1944">
              <w:rPr>
                <w:rFonts w:cs="Times New Roman"/>
                <w:b/>
                <w:i/>
                <w:iCs/>
              </w:rPr>
              <w:t xml:space="preserve">Очікувані </w:t>
            </w:r>
            <w:r>
              <w:rPr>
                <w:rFonts w:cs="Times New Roman"/>
                <w:b/>
                <w:i/>
                <w:iCs/>
              </w:rPr>
              <w:t>дані</w:t>
            </w:r>
            <w:r w:rsidRPr="00DD1944">
              <w:rPr>
                <w:rFonts w:cs="Times New Roman"/>
                <w:b/>
                <w:i/>
                <w:iCs/>
              </w:rPr>
              <w:t xml:space="preserve"> </w:t>
            </w:r>
            <w:r w:rsidRPr="00262300">
              <w:rPr>
                <w:rFonts w:ascii="Times New Roman" w:hAnsi="Times New Roman" w:cs="Times New Roman"/>
                <w:b/>
                <w:i/>
              </w:rPr>
              <w:t>за 202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62300">
              <w:rPr>
                <w:rFonts w:ascii="Times New Roman" w:hAnsi="Times New Roman" w:cs="Times New Roman"/>
                <w:b/>
                <w:i/>
              </w:rPr>
              <w:t xml:space="preserve"> рік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A429C" w:rsidRPr="003B661E" w:rsidRDefault="007A429C" w:rsidP="00AA1F4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A429C" w:rsidRPr="00CC3C48" w:rsidTr="007A429C">
        <w:tc>
          <w:tcPr>
            <w:tcW w:w="3794" w:type="dxa"/>
            <w:shd w:val="clear" w:color="auto" w:fill="auto"/>
            <w:vAlign w:val="center"/>
          </w:tcPr>
          <w:p w:rsidR="007A429C" w:rsidRPr="00E6727D" w:rsidRDefault="007A429C" w:rsidP="00AA1F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27D">
              <w:rPr>
                <w:rFonts w:ascii="Times New Roman" w:hAnsi="Times New Roman" w:cs="Times New Roman"/>
                <w:sz w:val="24"/>
                <w:szCs w:val="24"/>
              </w:rPr>
              <w:t>кількість суб'єктів господарювання та/або фізичних осіб, на яких поширюватиметься дія акта</w:t>
            </w:r>
          </w:p>
        </w:tc>
        <w:tc>
          <w:tcPr>
            <w:tcW w:w="1701" w:type="dxa"/>
            <w:vAlign w:val="center"/>
          </w:tcPr>
          <w:p w:rsidR="007A429C" w:rsidRPr="0082672E" w:rsidRDefault="007A429C" w:rsidP="00AA1F4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29C" w:rsidRPr="0082672E" w:rsidRDefault="00C82586" w:rsidP="00AA1F4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29C" w:rsidRPr="0082672E" w:rsidRDefault="00C82586" w:rsidP="00AA1F4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</w:t>
            </w:r>
          </w:p>
        </w:tc>
      </w:tr>
      <w:tr w:rsidR="007A429C" w:rsidRPr="00CC3C48" w:rsidTr="007A429C">
        <w:tc>
          <w:tcPr>
            <w:tcW w:w="3794" w:type="dxa"/>
            <w:shd w:val="clear" w:color="auto" w:fill="auto"/>
            <w:vAlign w:val="center"/>
          </w:tcPr>
          <w:p w:rsidR="007A429C" w:rsidRPr="00E6727D" w:rsidRDefault="007A429C" w:rsidP="00AA1F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27D"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органом місцевого самоврядування контрольних заходів (постійний контроль)</w:t>
            </w:r>
          </w:p>
        </w:tc>
        <w:tc>
          <w:tcPr>
            <w:tcW w:w="1701" w:type="dxa"/>
            <w:vAlign w:val="center"/>
          </w:tcPr>
          <w:p w:rsidR="007A429C" w:rsidRPr="0082672E" w:rsidRDefault="00061E85" w:rsidP="00AA1F4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29C" w:rsidRPr="0082672E" w:rsidRDefault="00061E85" w:rsidP="00AA1F4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29C" w:rsidRPr="0082672E" w:rsidRDefault="00061E85" w:rsidP="00AA1F4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7A429C" w:rsidRPr="00CC3C48" w:rsidTr="007A429C">
        <w:tc>
          <w:tcPr>
            <w:tcW w:w="3794" w:type="dxa"/>
            <w:shd w:val="clear" w:color="auto" w:fill="auto"/>
          </w:tcPr>
          <w:p w:rsidR="007A429C" w:rsidRPr="00E6727D" w:rsidRDefault="007A429C" w:rsidP="00E6727D">
            <w:pPr>
              <w:pStyle w:val="a8"/>
              <w:tabs>
                <w:tab w:val="left" w:pos="1265"/>
              </w:tabs>
              <w:spacing w:line="230" w:lineRule="auto"/>
              <w:ind w:left="0" w:right="-108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6727D">
              <w:rPr>
                <w:sz w:val="24"/>
                <w:szCs w:val="24"/>
                <w:lang w:val="uk-UA"/>
              </w:rPr>
              <w:t xml:space="preserve">кількість проведених органом місцевого самоврядування </w:t>
            </w:r>
            <w:r>
              <w:rPr>
                <w:sz w:val="24"/>
                <w:szCs w:val="24"/>
                <w:lang w:val="uk-UA"/>
              </w:rPr>
              <w:t>к</w:t>
            </w:r>
            <w:r w:rsidRPr="00E6727D">
              <w:rPr>
                <w:sz w:val="24"/>
                <w:szCs w:val="24"/>
                <w:lang w:val="uk-UA"/>
              </w:rPr>
              <w:t>онтрольних заходів   (періодичний контроль)</w:t>
            </w:r>
          </w:p>
        </w:tc>
        <w:tc>
          <w:tcPr>
            <w:tcW w:w="1701" w:type="dxa"/>
            <w:vAlign w:val="center"/>
          </w:tcPr>
          <w:p w:rsidR="007A429C" w:rsidRPr="0082672E" w:rsidRDefault="00061E85" w:rsidP="00AA1F47">
            <w:pPr>
              <w:ind w:firstLine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29C" w:rsidRPr="0082672E" w:rsidRDefault="00061E85" w:rsidP="00AA1F47">
            <w:pPr>
              <w:ind w:firstLine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29C" w:rsidRPr="0082672E" w:rsidRDefault="00061E85" w:rsidP="00AA1F47">
            <w:pPr>
              <w:ind w:firstLine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7A429C" w:rsidRPr="00CC3C48" w:rsidTr="007A429C">
        <w:tc>
          <w:tcPr>
            <w:tcW w:w="3794" w:type="dxa"/>
            <w:shd w:val="clear" w:color="auto" w:fill="auto"/>
          </w:tcPr>
          <w:p w:rsidR="007A429C" w:rsidRPr="00E6727D" w:rsidRDefault="007A429C" w:rsidP="00AA1F4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27D">
              <w:rPr>
                <w:rFonts w:ascii="Times New Roman" w:hAnsi="Times New Roman" w:cs="Times New Roman"/>
                <w:sz w:val="24"/>
                <w:szCs w:val="24"/>
              </w:rPr>
              <w:t>розмір надходжень до місцевого бюджету  від орендної плати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1701" w:type="dxa"/>
            <w:vAlign w:val="center"/>
          </w:tcPr>
          <w:p w:rsidR="007A429C" w:rsidRPr="0082672E" w:rsidRDefault="007A429C" w:rsidP="007A429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263620,16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29C" w:rsidRPr="0082672E" w:rsidRDefault="007A429C" w:rsidP="004844D1">
            <w:pPr>
              <w:ind w:firstLine="3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46</w:t>
            </w:r>
            <w:r w:rsidR="004844D1">
              <w:rPr>
                <w:rFonts w:ascii="Times New Roman" w:hAnsi="Times New Roman" w:cs="Times New Roman"/>
                <w:iCs/>
              </w:rPr>
              <w:t>0000,00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29C" w:rsidRPr="0082672E" w:rsidRDefault="00BC1472" w:rsidP="00BC147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480000,00</w:t>
            </w:r>
          </w:p>
        </w:tc>
      </w:tr>
      <w:tr w:rsidR="007A429C" w:rsidRPr="003B661E" w:rsidTr="007A429C">
        <w:trPr>
          <w:gridAfter w:val="1"/>
          <w:wAfter w:w="42" w:type="dxa"/>
          <w:trHeight w:val="369"/>
        </w:trPr>
        <w:tc>
          <w:tcPr>
            <w:tcW w:w="3794" w:type="dxa"/>
            <w:shd w:val="clear" w:color="auto" w:fill="auto"/>
          </w:tcPr>
          <w:p w:rsidR="007A429C" w:rsidRPr="0082672E" w:rsidRDefault="007A429C" w:rsidP="00AA1F4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E32E6">
              <w:rPr>
                <w:rStyle w:val="2"/>
                <w:rFonts w:ascii="Times New Roman" w:hAnsi="Times New Roman" w:cs="Times New Roman"/>
              </w:rPr>
              <w:t xml:space="preserve">Рівень поінформованості платників плати за землю стосовно основних </w:t>
            </w:r>
            <w:r w:rsidRPr="007E32E6">
              <w:rPr>
                <w:rStyle w:val="2"/>
                <w:rFonts w:ascii="Times New Roman" w:hAnsi="Times New Roman" w:cs="Times New Roman"/>
              </w:rPr>
              <w:lastRenderedPageBreak/>
              <w:t>положень регуляторного акта</w:t>
            </w:r>
          </w:p>
        </w:tc>
        <w:tc>
          <w:tcPr>
            <w:tcW w:w="4635" w:type="dxa"/>
            <w:gridSpan w:val="3"/>
            <w:vAlign w:val="center"/>
          </w:tcPr>
          <w:p w:rsidR="007A429C" w:rsidRPr="003B661E" w:rsidRDefault="007A429C" w:rsidP="007A429C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72F9">
              <w:rPr>
                <w:rFonts w:ascii="Times New Roman" w:hAnsi="Times New Roman"/>
              </w:rPr>
              <w:lastRenderedPageBreak/>
              <w:t xml:space="preserve">Відповідно до вимог Закону України «Про засади державної регуляторної політики у </w:t>
            </w:r>
            <w:r w:rsidRPr="007F72F9">
              <w:rPr>
                <w:rFonts w:ascii="Times New Roman" w:hAnsi="Times New Roman"/>
              </w:rPr>
              <w:lastRenderedPageBreak/>
              <w:t xml:space="preserve">сфері господарської діяльності» рішення </w:t>
            </w:r>
            <w:r w:rsidRPr="007F72F9">
              <w:rPr>
                <w:rStyle w:val="2"/>
                <w:rFonts w:ascii="Times New Roman" w:hAnsi="Times New Roman"/>
              </w:rPr>
              <w:t xml:space="preserve">оприлюднюється на </w:t>
            </w:r>
            <w:r w:rsidRPr="007A429C">
              <w:rPr>
                <w:rFonts w:ascii="Times New Roman" w:hAnsi="Times New Roman" w:cs="Times New Roman"/>
                <w:sz w:val="24"/>
                <w:szCs w:val="24"/>
              </w:rPr>
              <w:t xml:space="preserve">сайті Переяславської  міської ради </w:t>
            </w:r>
            <w:r w:rsidRPr="007A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hyperlink r:id="rId5" w:history="1"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phm</w:t>
              </w:r>
              <w:proofErr w:type="spellEnd"/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42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7A4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A429C">
              <w:rPr>
                <w:rFonts w:ascii="Times New Roman" w:hAnsi="Times New Roman" w:cs="Times New Roman"/>
                <w:sz w:val="24"/>
                <w:szCs w:val="24"/>
              </w:rPr>
              <w:t>в розділі «Регуляторна політика».</w:t>
            </w:r>
          </w:p>
        </w:tc>
      </w:tr>
    </w:tbl>
    <w:p w:rsidR="0052525F" w:rsidRDefault="0052525F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DE1" w:rsidRPr="00245DE1" w:rsidRDefault="00245DE1" w:rsidP="0024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DE1">
        <w:rPr>
          <w:rFonts w:ascii="Times New Roman" w:hAnsi="Times New Roman" w:cs="Times New Roman"/>
          <w:b/>
          <w:bCs/>
          <w:sz w:val="28"/>
          <w:szCs w:val="28"/>
        </w:rPr>
        <w:t>9. Оцінка результатів реалізації регуляторного акта та ступеня досягнення</w:t>
      </w:r>
      <w:r w:rsidR="00525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5DE1">
        <w:rPr>
          <w:rFonts w:ascii="Times New Roman" w:hAnsi="Times New Roman" w:cs="Times New Roman"/>
          <w:b/>
          <w:bCs/>
          <w:sz w:val="28"/>
          <w:szCs w:val="28"/>
        </w:rPr>
        <w:t>визначених цілей</w:t>
      </w:r>
    </w:p>
    <w:p w:rsidR="00AC45DE" w:rsidRPr="00CC3C48" w:rsidRDefault="00AC45DE" w:rsidP="00AC45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48">
        <w:rPr>
          <w:rFonts w:ascii="Times New Roman" w:hAnsi="Times New Roman" w:cs="Times New Roman"/>
          <w:sz w:val="28"/>
          <w:szCs w:val="28"/>
        </w:rPr>
        <w:t>Оцінка результатів реалізації регуляторного акта та ступінь досягнення мети будуть визначені при проведенні повторного відстеження результативності дії регуляторного акта.</w:t>
      </w:r>
    </w:p>
    <w:p w:rsidR="00AC45DE" w:rsidRPr="00CC3C48" w:rsidRDefault="00AC45DE" w:rsidP="00AC45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C48">
        <w:rPr>
          <w:rFonts w:ascii="Times New Roman" w:hAnsi="Times New Roman" w:cs="Times New Roman"/>
          <w:sz w:val="28"/>
          <w:szCs w:val="28"/>
        </w:rPr>
        <w:t xml:space="preserve">Відповідно до термінів заходів, за допомогою яких здійснюватиметься відстеження результативності дії регуляторного акта, визначених  в Аналізі регуляторного впливу </w:t>
      </w:r>
      <w:proofErr w:type="spellStart"/>
      <w:r w:rsidRPr="00CC3C4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C3C48">
        <w:rPr>
          <w:rFonts w:ascii="Times New Roman" w:hAnsi="Times New Roman" w:cs="Times New Roman"/>
          <w:sz w:val="28"/>
          <w:szCs w:val="28"/>
        </w:rPr>
        <w:t xml:space="preserve"> рішення, повторне відстеження результативності регуляторного акта буде проводитися через рік з дня набрання чинності рішення або набрання чинності більшістю його положень. За результатами повторного відстеження буде визначено ефективність дії регуляторного акта.</w:t>
      </w:r>
    </w:p>
    <w:p w:rsidR="00245DE1" w:rsidRPr="00245DE1" w:rsidRDefault="00245DE1" w:rsidP="00C204E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C204E6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C204E6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Заступник міського голови                                           Ольга ОГІЄВИЧ</w:t>
      </w: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Pr="00245DE1" w:rsidRDefault="00245DE1" w:rsidP="00245DE1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Default="00245DE1" w:rsidP="0061530D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Default="00245DE1" w:rsidP="0061530D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45DE1" w:rsidRDefault="00245DE1" w:rsidP="0061530D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245DE1" w:rsidSect="00DF2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573"/>
    <w:multiLevelType w:val="hybridMultilevel"/>
    <w:tmpl w:val="C3D0ABBE"/>
    <w:lvl w:ilvl="0" w:tplc="64347F1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C55051"/>
    <w:multiLevelType w:val="hybridMultilevel"/>
    <w:tmpl w:val="7B7CB1C2"/>
    <w:lvl w:ilvl="0" w:tplc="21A87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08780B"/>
    <w:multiLevelType w:val="hybridMultilevel"/>
    <w:tmpl w:val="6B7A7DB6"/>
    <w:lvl w:ilvl="0" w:tplc="1870C3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530D"/>
    <w:rsid w:val="00061E85"/>
    <w:rsid w:val="00187C40"/>
    <w:rsid w:val="002132CB"/>
    <w:rsid w:val="00245DE1"/>
    <w:rsid w:val="002932CF"/>
    <w:rsid w:val="003365A7"/>
    <w:rsid w:val="00366C23"/>
    <w:rsid w:val="003E37E8"/>
    <w:rsid w:val="003E3824"/>
    <w:rsid w:val="00407F43"/>
    <w:rsid w:val="00422D79"/>
    <w:rsid w:val="00464BF3"/>
    <w:rsid w:val="00471164"/>
    <w:rsid w:val="004844D1"/>
    <w:rsid w:val="0052525F"/>
    <w:rsid w:val="0061530D"/>
    <w:rsid w:val="006900E7"/>
    <w:rsid w:val="007517F0"/>
    <w:rsid w:val="00756B19"/>
    <w:rsid w:val="00763877"/>
    <w:rsid w:val="007A429C"/>
    <w:rsid w:val="007A4CD8"/>
    <w:rsid w:val="008134D6"/>
    <w:rsid w:val="00954A06"/>
    <w:rsid w:val="009759DD"/>
    <w:rsid w:val="00A60FF7"/>
    <w:rsid w:val="00AC1453"/>
    <w:rsid w:val="00AC45DE"/>
    <w:rsid w:val="00B24897"/>
    <w:rsid w:val="00B92E56"/>
    <w:rsid w:val="00BC1472"/>
    <w:rsid w:val="00BD4586"/>
    <w:rsid w:val="00C204E6"/>
    <w:rsid w:val="00C57855"/>
    <w:rsid w:val="00C82586"/>
    <w:rsid w:val="00D47BF8"/>
    <w:rsid w:val="00D62632"/>
    <w:rsid w:val="00D95EDE"/>
    <w:rsid w:val="00DF1AA7"/>
    <w:rsid w:val="00DF2257"/>
    <w:rsid w:val="00E6727D"/>
    <w:rsid w:val="00F76183"/>
    <w:rsid w:val="00F815BB"/>
    <w:rsid w:val="00FC2AD8"/>
    <w:rsid w:val="00FD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30D"/>
    <w:rPr>
      <w:b/>
      <w:bCs/>
    </w:rPr>
  </w:style>
  <w:style w:type="paragraph" w:styleId="a4">
    <w:name w:val="No Spacing"/>
    <w:qFormat/>
    <w:rsid w:val="0061530D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FontStyle88">
    <w:name w:val="Font Style88"/>
    <w:basedOn w:val="a0"/>
    <w:rsid w:val="0061530D"/>
    <w:rPr>
      <w:rFonts w:ascii="Franklin Gothic Medium" w:hAnsi="Franklin Gothic Medium" w:cs="Franklin Gothic Medium"/>
      <w:sz w:val="14"/>
      <w:szCs w:val="14"/>
    </w:rPr>
  </w:style>
  <w:style w:type="character" w:styleId="a5">
    <w:name w:val="Hyperlink"/>
    <w:basedOn w:val="a0"/>
    <w:uiPriority w:val="99"/>
    <w:unhideWhenUsed/>
    <w:rsid w:val="00D47BF8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D95E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2">
    <w:name w:val="Стиль2"/>
    <w:basedOn w:val="a7"/>
    <w:rsid w:val="00763877"/>
  </w:style>
  <w:style w:type="paragraph" w:styleId="a8">
    <w:name w:val="List Paragraph"/>
    <w:basedOn w:val="a"/>
    <w:uiPriority w:val="34"/>
    <w:qFormat/>
    <w:rsid w:val="00763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line number"/>
    <w:basedOn w:val="a0"/>
    <w:uiPriority w:val="99"/>
    <w:semiHidden/>
    <w:unhideWhenUsed/>
    <w:rsid w:val="00763877"/>
  </w:style>
  <w:style w:type="paragraph" w:customStyle="1" w:styleId="Default">
    <w:name w:val="Default"/>
    <w:rsid w:val="00422D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m.g&#1086;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3426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8</cp:revision>
  <cp:lastPrinted>2020-09-09T06:53:00Z</cp:lastPrinted>
  <dcterms:created xsi:type="dcterms:W3CDTF">2022-03-23T12:12:00Z</dcterms:created>
  <dcterms:modified xsi:type="dcterms:W3CDTF">2022-03-25T09:59:00Z</dcterms:modified>
</cp:coreProperties>
</file>