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Переяслав</w:t>
      </w:r>
      <w:r w:rsidR="00405CB5">
        <w:t>с</w:t>
      </w:r>
      <w:r>
        <w:t>ької міської ради від</w:t>
      </w:r>
      <w:r w:rsidR="00405CB5">
        <w:t xml:space="preserve"> _____________</w:t>
      </w:r>
      <w:r w:rsidR="00B529D7">
        <w:t xml:space="preserve">  № </w:t>
      </w:r>
      <w:r w:rsidR="00405CB5"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E11FA4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</w:t>
            </w:r>
            <w:r w:rsidR="00E11FA4">
              <w:rPr>
                <w:b/>
                <w:sz w:val="20"/>
                <w:szCs w:val="20"/>
              </w:rPr>
              <w:t>9</w:t>
            </w:r>
            <w:r w:rsidR="00DB786D">
              <w:rPr>
                <w:b/>
                <w:sz w:val="20"/>
                <w:szCs w:val="20"/>
              </w:rPr>
              <w:t>.1</w:t>
            </w:r>
            <w:r w:rsidR="00E11FA4"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DDD" w:rsidRDefault="00030029" w:rsidP="00D1249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Затвердження проекту землеустрою щодо відведення земельної ділянки</w:t>
            </w:r>
          </w:p>
          <w:p w:rsidR="00CA7C4B" w:rsidRPr="00F81273" w:rsidRDefault="00500F84" w:rsidP="00D12492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для будівництва </w:t>
            </w:r>
            <w:r w:rsidR="00D85803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індивідуальних гаражів </w:t>
            </w:r>
            <w:r w:rsidR="00E24AD5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на умовах </w:t>
            </w:r>
            <w:r w:rsidR="005B4256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оренд</w:t>
            </w:r>
            <w:r w:rsidR="00E24AD5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и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312" w:rsidRPr="00FA1312" w:rsidRDefault="00FA1312" w:rsidP="00FA131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A1312">
              <w:rPr>
                <w:b/>
                <w:sz w:val="20"/>
                <w:szCs w:val="20"/>
                <w:u w:val="single"/>
              </w:rPr>
              <w:t>Відділ з питань використання земель та земельного кадастру</w:t>
            </w:r>
          </w:p>
          <w:p w:rsidR="00FA1312" w:rsidRPr="00FA1312" w:rsidRDefault="00FA1312" w:rsidP="00FA131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A1312">
              <w:rPr>
                <w:b/>
                <w:sz w:val="20"/>
                <w:szCs w:val="20"/>
                <w:u w:val="single"/>
              </w:rPr>
              <w:t xml:space="preserve"> виконкому Переяславської міської ради 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FA131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</w:t>
            </w:r>
            <w:r w:rsidR="00FA1312">
              <w:rPr>
                <w:sz w:val="20"/>
                <w:szCs w:val="20"/>
              </w:rPr>
              <w:t xml:space="preserve">ської </w:t>
            </w:r>
            <w:r w:rsidRPr="006F03BF">
              <w:rPr>
                <w:sz w:val="20"/>
                <w:szCs w:val="20"/>
              </w:rPr>
              <w:t xml:space="preserve">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FA131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Переяслав, вул.</w:t>
            </w:r>
            <w:r w:rsidR="00FA1312">
              <w:rPr>
                <w:sz w:val="20"/>
                <w:szCs w:val="20"/>
              </w:rPr>
              <w:t xml:space="preserve"> </w:t>
            </w:r>
            <w:r w:rsidRPr="006F03BF">
              <w:rPr>
                <w:sz w:val="20"/>
                <w:szCs w:val="20"/>
              </w:rPr>
              <w:t>Б.Хмельницького,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D85803" w:rsidP="00405CB5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«</w:t>
            </w:r>
            <w:r w:rsidR="00405CB5">
              <w:rPr>
                <w:sz w:val="20"/>
                <w:szCs w:val="20"/>
              </w:rPr>
              <w:t xml:space="preserve">Про землеустрій», </w:t>
            </w:r>
            <w:r w:rsidRPr="003901D9">
              <w:rPr>
                <w:sz w:val="20"/>
                <w:szCs w:val="20"/>
              </w:rPr>
              <w:t>«Про надання адмініст</w:t>
            </w:r>
            <w:r w:rsidR="00405CB5">
              <w:rPr>
                <w:sz w:val="20"/>
                <w:szCs w:val="20"/>
              </w:rPr>
              <w:t xml:space="preserve">ративних послуг», </w:t>
            </w:r>
            <w:r w:rsidRPr="003901D9">
              <w:rPr>
                <w:sz w:val="20"/>
                <w:szCs w:val="20"/>
              </w:rPr>
              <w:t>«Про місцеве самоврядування в Україні»</w:t>
            </w:r>
            <w:r w:rsidR="00293316">
              <w:rPr>
                <w:sz w:val="20"/>
                <w:szCs w:val="20"/>
              </w:rPr>
              <w:t>,</w:t>
            </w:r>
            <w:r w:rsidR="0056652C">
              <w:rPr>
                <w:sz w:val="20"/>
                <w:szCs w:val="20"/>
              </w:rPr>
              <w:t xml:space="preserve"> </w:t>
            </w:r>
            <w:r w:rsidR="005B4256">
              <w:rPr>
                <w:sz w:val="20"/>
                <w:szCs w:val="20"/>
              </w:rPr>
              <w:t>«Про оренду землі»</w:t>
            </w:r>
            <w:r w:rsidR="0056652C">
              <w:rPr>
                <w:sz w:val="20"/>
                <w:szCs w:val="20"/>
              </w:rPr>
              <w:t>,  "Про Державний земельний кадастр"</w:t>
            </w:r>
            <w:r w:rsidR="00405CB5">
              <w:rPr>
                <w:sz w:val="20"/>
                <w:szCs w:val="20"/>
              </w:rPr>
              <w:t>, Земельний кодекс України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296D2C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030029" w:rsidP="00E24AD5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 xml:space="preserve">Звернення до міської ради особи, зацікавленої </w:t>
            </w:r>
            <w:r w:rsidR="00490CE4">
              <w:rPr>
                <w:sz w:val="20"/>
                <w:szCs w:val="20"/>
              </w:rPr>
              <w:t xml:space="preserve">в оформленні земельної ділянки для </w:t>
            </w:r>
            <w:r w:rsidR="00E24AD5">
              <w:rPr>
                <w:sz w:val="20"/>
                <w:szCs w:val="20"/>
              </w:rPr>
              <w:t xml:space="preserve">індивідуального гаражного </w:t>
            </w:r>
            <w:r w:rsidR="00490CE4">
              <w:rPr>
                <w:sz w:val="20"/>
                <w:szCs w:val="20"/>
              </w:rPr>
              <w:t>буді</w:t>
            </w:r>
            <w:r w:rsidR="009A5D29">
              <w:rPr>
                <w:sz w:val="20"/>
                <w:szCs w:val="20"/>
              </w:rPr>
              <w:t>в</w:t>
            </w:r>
            <w:r w:rsidR="00490CE4">
              <w:rPr>
                <w:sz w:val="20"/>
                <w:szCs w:val="20"/>
              </w:rPr>
              <w:t xml:space="preserve">ництва </w:t>
            </w:r>
            <w:r w:rsidR="00C11AAE">
              <w:rPr>
                <w:sz w:val="20"/>
                <w:szCs w:val="20"/>
              </w:rPr>
              <w:t xml:space="preserve">на </w:t>
            </w:r>
            <w:r w:rsidR="00490CE4">
              <w:rPr>
                <w:sz w:val="20"/>
                <w:szCs w:val="20"/>
              </w:rPr>
              <w:t>умовах оренди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3F73B6" w:rsidRDefault="00FB50FE" w:rsidP="003F73B6">
            <w:pPr>
              <w:spacing w:line="220" w:lineRule="exact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A804C6" w:rsidRPr="003F73B6">
              <w:rPr>
                <w:sz w:val="20"/>
                <w:szCs w:val="20"/>
              </w:rPr>
              <w:t xml:space="preserve">Заява </w:t>
            </w:r>
            <w:r w:rsidR="00973BA9">
              <w:rPr>
                <w:sz w:val="20"/>
                <w:szCs w:val="20"/>
              </w:rPr>
              <w:t xml:space="preserve">до міської ради </w:t>
            </w:r>
            <w:r w:rsidR="00A804C6" w:rsidRPr="003F73B6">
              <w:rPr>
                <w:sz w:val="20"/>
                <w:szCs w:val="20"/>
              </w:rPr>
              <w:t xml:space="preserve">про </w:t>
            </w:r>
            <w:r w:rsidR="00D53487" w:rsidRPr="003F73B6">
              <w:rPr>
                <w:sz w:val="20"/>
                <w:szCs w:val="20"/>
              </w:rPr>
              <w:t xml:space="preserve">затвердження проекту землеустрою </w:t>
            </w:r>
            <w:r w:rsidR="00A804C6" w:rsidRPr="003F73B6">
              <w:rPr>
                <w:sz w:val="20"/>
                <w:szCs w:val="20"/>
              </w:rPr>
              <w:t xml:space="preserve"> щодо відв</w:t>
            </w:r>
            <w:r w:rsidR="0014644D">
              <w:rPr>
                <w:sz w:val="20"/>
                <w:szCs w:val="20"/>
              </w:rPr>
              <w:t xml:space="preserve">едення земельної ділянки </w:t>
            </w:r>
            <w:r w:rsidR="00490CE4">
              <w:rPr>
                <w:sz w:val="20"/>
                <w:szCs w:val="20"/>
              </w:rPr>
              <w:t xml:space="preserve">в оренду </w:t>
            </w:r>
            <w:r w:rsidR="00E820DB">
              <w:rPr>
                <w:sz w:val="20"/>
                <w:szCs w:val="20"/>
              </w:rPr>
              <w:t xml:space="preserve">для </w:t>
            </w:r>
            <w:r w:rsidR="00C11AAE">
              <w:rPr>
                <w:sz w:val="20"/>
                <w:szCs w:val="20"/>
              </w:rPr>
              <w:t>будівництва</w:t>
            </w:r>
            <w:r w:rsidR="00A9551C">
              <w:rPr>
                <w:sz w:val="20"/>
                <w:szCs w:val="20"/>
              </w:rPr>
              <w:t xml:space="preserve"> індивідуальних гаражів</w:t>
            </w:r>
          </w:p>
          <w:p w:rsidR="00973BA9" w:rsidRDefault="00FB50FE" w:rsidP="008217A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14644D">
              <w:rPr>
                <w:sz w:val="20"/>
                <w:szCs w:val="20"/>
              </w:rPr>
              <w:t xml:space="preserve">- </w:t>
            </w:r>
            <w:r w:rsidR="00A9551C" w:rsidRPr="00BB649A">
              <w:rPr>
                <w:sz w:val="20"/>
                <w:szCs w:val="20"/>
              </w:rPr>
              <w:t>Проект землеустрою, погоджений відповідно до вимог чинного законодавства, з позначкою Державного кадастрового реєстратора про внесення відомостей до Держ</w:t>
            </w:r>
            <w:r w:rsidR="00A9551C">
              <w:rPr>
                <w:sz w:val="20"/>
                <w:szCs w:val="20"/>
              </w:rPr>
              <w:t>авного земельного кадастру (копія витягу з ДЗК про земельну ділянку)</w:t>
            </w:r>
          </w:p>
          <w:p w:rsidR="00FA1312" w:rsidRPr="00FA1312" w:rsidRDefault="00FA1312" w:rsidP="008217AA">
            <w:pPr>
              <w:spacing w:line="220" w:lineRule="exact"/>
              <w:jc w:val="both"/>
              <w:rPr>
                <w:i/>
              </w:rPr>
            </w:pPr>
            <w:r>
              <w:rPr>
                <w:sz w:val="20"/>
                <w:szCs w:val="20"/>
              </w:rPr>
              <w:t>-обмінний файл in 4 або xml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A7C4B" w:rsidRDefault="00CA7C4B" w:rsidP="00D12492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6632CC" w:rsidP="00D12492">
            <w:pPr>
              <w:rPr>
                <w:sz w:val="20"/>
                <w:szCs w:val="20"/>
              </w:rPr>
            </w:pPr>
            <w:r w:rsidRPr="00B07E2B">
              <w:rPr>
                <w:sz w:val="20"/>
                <w:szCs w:val="20"/>
              </w:rPr>
              <w:t>Двотижневий строк з дня отримання проекту землеустрою щодо відведення.</w:t>
            </w:r>
            <w:r w:rsidR="00405C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разі неможливості виконання у такий строк - після першого засідання  колегіального органу по  закінченню терміну.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451587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="00451587" w:rsidRPr="00451587">
              <w:rPr>
                <w:color w:val="000000"/>
                <w:sz w:val="20"/>
                <w:szCs w:val="20"/>
              </w:rPr>
              <w:t> </w:t>
            </w:r>
            <w:bookmarkStart w:id="2" w:name="w23"/>
            <w:r w:rsidR="00C167D3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451587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C167D3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451587" w:rsidRPr="00451587">
              <w:rPr>
                <w:bCs/>
                <w:sz w:val="20"/>
                <w:szCs w:val="20"/>
              </w:rPr>
              <w:t>містоб</w:t>
            </w:r>
            <w:r w:rsidR="00C167D3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451587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A7C4B" w:rsidP="006632C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451587" w:rsidRPr="003F73B6">
              <w:rPr>
                <w:sz w:val="20"/>
                <w:szCs w:val="20"/>
              </w:rPr>
              <w:t>затвердження проекту землеустрою  що</w:t>
            </w:r>
            <w:r w:rsidR="00C11AAE">
              <w:rPr>
                <w:sz w:val="20"/>
                <w:szCs w:val="20"/>
              </w:rPr>
              <w:t xml:space="preserve">до відведення земельної ділянки для </w:t>
            </w:r>
            <w:r w:rsidR="006632CC">
              <w:rPr>
                <w:sz w:val="20"/>
                <w:szCs w:val="20"/>
              </w:rPr>
              <w:t xml:space="preserve">будівництва індивідуальних гаражів </w:t>
            </w:r>
            <w:r w:rsidR="00C11AAE">
              <w:rPr>
                <w:sz w:val="20"/>
                <w:szCs w:val="20"/>
              </w:rPr>
              <w:t>на умовах оренди</w:t>
            </w:r>
            <w:r w:rsidR="00FA1312">
              <w:rPr>
                <w:sz w:val="20"/>
                <w:szCs w:val="20"/>
              </w:rPr>
              <w:t xml:space="preserve"> </w:t>
            </w:r>
            <w:r w:rsidR="00971BBC">
              <w:rPr>
                <w:sz w:val="20"/>
                <w:szCs w:val="20"/>
              </w:rPr>
              <w:t>разом із</w:t>
            </w:r>
            <w:r w:rsidR="00FB50FE">
              <w:rPr>
                <w:sz w:val="20"/>
                <w:szCs w:val="20"/>
              </w:rPr>
              <w:t xml:space="preserve"> примірник</w:t>
            </w:r>
            <w:r w:rsidR="00971BBC">
              <w:rPr>
                <w:sz w:val="20"/>
                <w:szCs w:val="20"/>
              </w:rPr>
              <w:t>ом</w:t>
            </w:r>
            <w:r w:rsidR="00FB50FE">
              <w:rPr>
                <w:sz w:val="20"/>
                <w:szCs w:val="20"/>
              </w:rPr>
              <w:t xml:space="preserve"> проекту землеустрою, що додавався до заяви</w:t>
            </w:r>
            <w:r w:rsidR="008217AA">
              <w:rPr>
                <w:sz w:val="20"/>
                <w:szCs w:val="20"/>
              </w:rPr>
              <w:t>,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  <w:r w:rsidR="00971BBC">
              <w:rPr>
                <w:sz w:val="20"/>
                <w:szCs w:val="20"/>
              </w:rPr>
              <w:t xml:space="preserve"> з обов’язковим </w:t>
            </w:r>
            <w:r w:rsidR="005B4256">
              <w:rPr>
                <w:sz w:val="20"/>
                <w:szCs w:val="20"/>
              </w:rPr>
              <w:t>поверненням проекту землеустрою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CA7C4B" w:rsidRPr="00405CB5" w:rsidRDefault="00CA7C4B" w:rsidP="00CA7C4B">
      <w:pPr>
        <w:rPr>
          <w:b/>
          <w:sz w:val="22"/>
          <w:szCs w:val="22"/>
        </w:rPr>
      </w:pPr>
      <w:r w:rsidRPr="00405CB5">
        <w:rPr>
          <w:b/>
          <w:sz w:val="22"/>
          <w:szCs w:val="22"/>
        </w:rPr>
        <w:t>Керуюча справами виконкому</w:t>
      </w:r>
      <w:r w:rsidRPr="00405CB5">
        <w:rPr>
          <w:b/>
          <w:sz w:val="22"/>
          <w:szCs w:val="22"/>
        </w:rPr>
        <w:tab/>
      </w:r>
      <w:r w:rsidRPr="00405CB5">
        <w:rPr>
          <w:b/>
          <w:sz w:val="22"/>
          <w:szCs w:val="22"/>
        </w:rPr>
        <w:tab/>
      </w:r>
      <w:r w:rsidRPr="00405CB5">
        <w:rPr>
          <w:b/>
          <w:sz w:val="22"/>
          <w:szCs w:val="22"/>
        </w:rPr>
        <w:tab/>
      </w:r>
      <w:r w:rsidRPr="00405CB5">
        <w:rPr>
          <w:b/>
          <w:sz w:val="22"/>
          <w:szCs w:val="22"/>
        </w:rPr>
        <w:tab/>
      </w:r>
      <w:r w:rsidRPr="00405CB5">
        <w:rPr>
          <w:b/>
          <w:sz w:val="22"/>
          <w:szCs w:val="22"/>
        </w:rPr>
        <w:tab/>
      </w:r>
      <w:r w:rsidRPr="00405CB5">
        <w:rPr>
          <w:b/>
          <w:sz w:val="22"/>
          <w:szCs w:val="22"/>
        </w:rPr>
        <w:tab/>
      </w:r>
      <w:r w:rsidR="00FA1312" w:rsidRPr="00405CB5">
        <w:rPr>
          <w:b/>
          <w:sz w:val="22"/>
          <w:szCs w:val="22"/>
        </w:rPr>
        <w:t>О</w:t>
      </w:r>
      <w:r w:rsidR="00405CB5">
        <w:rPr>
          <w:b/>
          <w:sz w:val="22"/>
          <w:szCs w:val="22"/>
        </w:rPr>
        <w:t xml:space="preserve">льга </w:t>
      </w:r>
      <w:r w:rsidR="00FA1312" w:rsidRPr="00405CB5">
        <w:rPr>
          <w:b/>
          <w:sz w:val="22"/>
          <w:szCs w:val="22"/>
        </w:rPr>
        <w:t>Г</w:t>
      </w:r>
      <w:r w:rsidR="00405CB5">
        <w:rPr>
          <w:b/>
          <w:sz w:val="22"/>
          <w:szCs w:val="22"/>
        </w:rPr>
        <w:t>РЕБЕНЩИКОВА</w:t>
      </w:r>
    </w:p>
    <w:p w:rsidR="00CA7C4B" w:rsidRPr="00372854" w:rsidRDefault="00CA7C4B" w:rsidP="00CA7C4B">
      <w:pPr>
        <w:rPr>
          <w:sz w:val="6"/>
          <w:szCs w:val="6"/>
        </w:rPr>
      </w:pPr>
    </w:p>
    <w:p w:rsidR="008D057D" w:rsidRPr="00CA7C4B" w:rsidRDefault="008D057D" w:rsidP="00CA7C4B"/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4D" w:rsidRDefault="003C2A4D" w:rsidP="009F25A5">
      <w:r>
        <w:separator/>
      </w:r>
    </w:p>
  </w:endnote>
  <w:endnote w:type="continuationSeparator" w:id="0">
    <w:p w:rsidR="003C2A4D" w:rsidRDefault="003C2A4D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4D" w:rsidRDefault="003C2A4D" w:rsidP="009F25A5">
      <w:r>
        <w:separator/>
      </w:r>
    </w:p>
  </w:footnote>
  <w:footnote w:type="continuationSeparator" w:id="0">
    <w:p w:rsidR="003C2A4D" w:rsidRDefault="003C2A4D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167D3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3C2A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167D3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5CB5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3C2A4D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14209C"/>
    <w:rsid w:val="0014644D"/>
    <w:rsid w:val="00165078"/>
    <w:rsid w:val="001664AC"/>
    <w:rsid w:val="00293316"/>
    <w:rsid w:val="00296D2C"/>
    <w:rsid w:val="002D7DEB"/>
    <w:rsid w:val="003C2A4D"/>
    <w:rsid w:val="003F73B6"/>
    <w:rsid w:val="00405CB5"/>
    <w:rsid w:val="00451587"/>
    <w:rsid w:val="00490CE4"/>
    <w:rsid w:val="004D0FB9"/>
    <w:rsid w:val="00500F84"/>
    <w:rsid w:val="00541BDF"/>
    <w:rsid w:val="0054720A"/>
    <w:rsid w:val="0056652C"/>
    <w:rsid w:val="00597A3A"/>
    <w:rsid w:val="005B4256"/>
    <w:rsid w:val="00603B7F"/>
    <w:rsid w:val="00615DDD"/>
    <w:rsid w:val="00631C05"/>
    <w:rsid w:val="00643909"/>
    <w:rsid w:val="006632CC"/>
    <w:rsid w:val="00775317"/>
    <w:rsid w:val="007B2C81"/>
    <w:rsid w:val="008217AA"/>
    <w:rsid w:val="008726DC"/>
    <w:rsid w:val="008D057D"/>
    <w:rsid w:val="008F5111"/>
    <w:rsid w:val="00936636"/>
    <w:rsid w:val="00971BBC"/>
    <w:rsid w:val="00973BA9"/>
    <w:rsid w:val="009A5D29"/>
    <w:rsid w:val="009E17F7"/>
    <w:rsid w:val="009F25A5"/>
    <w:rsid w:val="009F3EA0"/>
    <w:rsid w:val="00A15C72"/>
    <w:rsid w:val="00A16AA1"/>
    <w:rsid w:val="00A804C6"/>
    <w:rsid w:val="00A9551C"/>
    <w:rsid w:val="00B07E2B"/>
    <w:rsid w:val="00B334E3"/>
    <w:rsid w:val="00B529D7"/>
    <w:rsid w:val="00B6773C"/>
    <w:rsid w:val="00B80669"/>
    <w:rsid w:val="00C11AAE"/>
    <w:rsid w:val="00C167D3"/>
    <w:rsid w:val="00C50DD4"/>
    <w:rsid w:val="00C60171"/>
    <w:rsid w:val="00CA7C4B"/>
    <w:rsid w:val="00D53487"/>
    <w:rsid w:val="00D660B4"/>
    <w:rsid w:val="00D85803"/>
    <w:rsid w:val="00D95A8D"/>
    <w:rsid w:val="00DB786D"/>
    <w:rsid w:val="00E11FA4"/>
    <w:rsid w:val="00E24AD5"/>
    <w:rsid w:val="00E64864"/>
    <w:rsid w:val="00E820DB"/>
    <w:rsid w:val="00F07AB6"/>
    <w:rsid w:val="00F72B2D"/>
    <w:rsid w:val="00F85701"/>
    <w:rsid w:val="00FA1312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5145C-7F48-4713-BF88-851534F8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95A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A8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2602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20</cp:revision>
  <cp:lastPrinted>2016-09-29T07:58:00Z</cp:lastPrinted>
  <dcterms:created xsi:type="dcterms:W3CDTF">2016-09-23T06:51:00Z</dcterms:created>
  <dcterms:modified xsi:type="dcterms:W3CDTF">2020-02-19T10:26:00Z</dcterms:modified>
</cp:coreProperties>
</file>